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8072" w:val="left" w:leader="none"/>
        </w:tabs>
        <w:spacing w:line="240" w:lineRule="auto"/>
        <w:ind w:left="1933" w:right="0" w:firstLine="0"/>
        <w:rPr>
          <w:rFonts w:ascii="Times New Roman"/>
          <w:sz w:val="20"/>
        </w:rPr>
      </w:pPr>
      <w:r>
        <w:rPr>
          <w:rFonts w:ascii="Times New Roman"/>
          <w:position w:val="5"/>
          <w:sz w:val="20"/>
        </w:rPr>
        <w:drawing>
          <wp:inline distT="0" distB="0" distL="0" distR="0">
            <wp:extent cx="530835" cy="48196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30835" cy="481965"/>
                    </a:xfrm>
                    <a:prstGeom prst="rect">
                      <a:avLst/>
                    </a:prstGeom>
                  </pic:spPr>
                </pic:pic>
              </a:graphicData>
            </a:graphic>
          </wp:inline>
        </w:drawing>
      </w:r>
      <w:r>
        <w:rPr>
          <w:rFonts w:ascii="Times New Roman"/>
          <w:position w:val="5"/>
          <w:sz w:val="20"/>
        </w:rPr>
      </w:r>
      <w:r>
        <w:rPr>
          <w:rFonts w:ascii="Times New Roman"/>
          <w:position w:val="5"/>
          <w:sz w:val="20"/>
        </w:rPr>
        <w:tab/>
      </w:r>
      <w:r>
        <w:rPr>
          <w:rFonts w:ascii="Times New Roman"/>
          <w:sz w:val="20"/>
        </w:rPr>
        <mc:AlternateContent>
          <mc:Choice Requires="wps">
            <w:drawing>
              <wp:inline distT="0" distB="0" distL="0" distR="0">
                <wp:extent cx="1593850" cy="958850"/>
                <wp:effectExtent l="0" t="0" r="0" b="3175"/>
                <wp:docPr id="2" name="Group 2"/>
                <wp:cNvGraphicFramePr>
                  <a:graphicFrameLocks/>
                </wp:cNvGraphicFramePr>
                <a:graphic>
                  <a:graphicData uri="http://schemas.microsoft.com/office/word/2010/wordprocessingGroup">
                    <wpg:wgp>
                      <wpg:cNvPr id="2" name="Group 2"/>
                      <wpg:cNvGrpSpPr/>
                      <wpg:grpSpPr>
                        <a:xfrm>
                          <a:off x="0" y="0"/>
                          <a:ext cx="1593850" cy="958850"/>
                          <a:chExt cx="1593850" cy="958850"/>
                        </a:xfrm>
                      </wpg:grpSpPr>
                      <wps:wsp>
                        <wps:cNvPr id="3" name="Textbox 3"/>
                        <wps:cNvSpPr txBox="1"/>
                        <wps:spPr>
                          <a:xfrm>
                            <a:off x="3175" y="765175"/>
                            <a:ext cx="1587500" cy="190500"/>
                          </a:xfrm>
                          <a:prstGeom prst="rect">
                            <a:avLst/>
                          </a:prstGeom>
                          <a:ln w="6350">
                            <a:solidFill>
                              <a:srgbClr val="000000"/>
                            </a:solidFill>
                            <a:prstDash val="solid"/>
                          </a:ln>
                        </wps:spPr>
                        <wps:txbx>
                          <w:txbxContent>
                            <w:p>
                              <w:pPr>
                                <w:spacing w:before="66"/>
                                <w:ind w:left="194" w:right="0" w:firstLine="0"/>
                                <w:jc w:val="left"/>
                                <w:rPr>
                                  <w:rFonts w:ascii="Arial"/>
                                  <w:b/>
                                  <w:sz w:val="18"/>
                                </w:rPr>
                              </w:pPr>
                              <w:r>
                                <w:rPr>
                                  <w:rFonts w:ascii="Arial"/>
                                  <w:b/>
                                  <w:sz w:val="18"/>
                                </w:rPr>
                                <w:t>Ayuntamiento </w:t>
                              </w:r>
                              <w:r>
                                <w:rPr>
                                  <w:rFonts w:ascii="Arial"/>
                                  <w:b/>
                                  <w:spacing w:val="-2"/>
                                  <w:sz w:val="18"/>
                                </w:rPr>
                                <w:t>Valladolid</w:t>
                              </w:r>
                            </w:p>
                          </w:txbxContent>
                        </wps:txbx>
                        <wps:bodyPr wrap="square" lIns="0" tIns="0" rIns="0" bIns="0" rtlCol="0">
                          <a:noAutofit/>
                        </wps:bodyPr>
                      </wps:wsp>
                      <wps:wsp>
                        <wps:cNvPr id="4" name="Textbox 4"/>
                        <wps:cNvSpPr txBox="1"/>
                        <wps:spPr>
                          <a:xfrm>
                            <a:off x="3175" y="3175"/>
                            <a:ext cx="1587500" cy="762000"/>
                          </a:xfrm>
                          <a:prstGeom prst="rect">
                            <a:avLst/>
                          </a:prstGeom>
                          <a:ln w="6350">
                            <a:solidFill>
                              <a:srgbClr val="000000"/>
                            </a:solidFill>
                            <a:prstDash val="solid"/>
                          </a:ln>
                        </wps:spPr>
                        <wps:txbx>
                          <w:txbxContent>
                            <w:p>
                              <w:pPr>
                                <w:spacing w:before="66"/>
                                <w:ind w:left="0" w:right="0" w:firstLine="0"/>
                                <w:jc w:val="center"/>
                                <w:rPr>
                                  <w:rFonts w:ascii="Arial" w:hAnsi="Arial"/>
                                  <w:b/>
                                  <w:sz w:val="18"/>
                                </w:rPr>
                              </w:pPr>
                              <w:r>
                                <w:rPr>
                                  <w:rFonts w:ascii="Arial" w:hAnsi="Arial"/>
                                  <w:b/>
                                  <w:spacing w:val="-2"/>
                                  <w:sz w:val="18"/>
                                </w:rPr>
                                <w:t>Número</w:t>
                              </w:r>
                            </w:p>
                            <w:p>
                              <w:pPr>
                                <w:spacing w:before="110"/>
                                <w:ind w:left="0" w:right="0" w:firstLine="0"/>
                                <w:jc w:val="center"/>
                                <w:rPr>
                                  <w:rFonts w:ascii="Arial"/>
                                  <w:b/>
                                  <w:sz w:val="14"/>
                                </w:rPr>
                              </w:pPr>
                              <w:r>
                                <w:rPr>
                                  <w:rFonts w:ascii="Arial"/>
                                  <w:b/>
                                  <w:spacing w:val="-4"/>
                                  <w:sz w:val="14"/>
                                </w:rPr>
                                <w:t>1766</w:t>
                              </w:r>
                            </w:p>
                            <w:p>
                              <w:pPr>
                                <w:spacing w:line="300" w:lineRule="atLeast" w:before="15"/>
                                <w:ind w:left="617" w:right="615" w:hanging="1"/>
                                <w:jc w:val="center"/>
                                <w:rPr>
                                  <w:rFonts w:ascii="Arial"/>
                                  <w:b/>
                                  <w:sz w:val="16"/>
                                </w:rPr>
                              </w:pPr>
                              <w:r>
                                <w:rPr>
                                  <w:rFonts w:ascii="Arial"/>
                                  <w:b/>
                                  <w:sz w:val="16"/>
                                </w:rPr>
                                <w:t>Fecha</w:t>
                              </w:r>
                              <w:r>
                                <w:rPr>
                                  <w:rFonts w:ascii="Arial"/>
                                  <w:b/>
                                  <w:spacing w:val="-5"/>
                                  <w:sz w:val="16"/>
                                </w:rPr>
                                <w:t> </w:t>
                              </w:r>
                              <w:r>
                                <w:rPr>
                                  <w:rFonts w:ascii="Arial"/>
                                  <w:b/>
                                  <w:sz w:val="16"/>
                                </w:rPr>
                                <w:t>de</w:t>
                              </w:r>
                              <w:r>
                                <w:rPr>
                                  <w:rFonts w:ascii="Arial"/>
                                  <w:b/>
                                  <w:spacing w:val="-5"/>
                                  <w:sz w:val="16"/>
                                </w:rPr>
                                <w:t> </w:t>
                              </w:r>
                              <w:r>
                                <w:rPr>
                                  <w:rFonts w:ascii="Arial"/>
                                  <w:b/>
                                  <w:sz w:val="16"/>
                                </w:rPr>
                                <w:t>Firma: 19/03/2026 </w:t>
                              </w:r>
                              <w:r>
                                <w:rPr>
                                  <w:rFonts w:ascii="Arial"/>
                                  <w:b/>
                                  <w:spacing w:val="-2"/>
                                  <w:sz w:val="16"/>
                                </w:rPr>
                                <w:t>14:38</w:t>
                              </w:r>
                            </w:p>
                          </w:txbxContent>
                        </wps:txbx>
                        <wps:bodyPr wrap="square" lIns="0" tIns="0" rIns="0" bIns="0" rtlCol="0">
                          <a:noAutofit/>
                        </wps:bodyPr>
                      </wps:wsp>
                    </wpg:wgp>
                  </a:graphicData>
                </a:graphic>
              </wp:inline>
            </w:drawing>
          </mc:Choice>
          <mc:Fallback>
            <w:pict>
              <v:group style="width:125.5pt;height:75.5pt;mso-position-horizontal-relative:char;mso-position-vertical-relative:line" id="docshapegroup1" coordorigin="0,0" coordsize="2510,1510">
                <v:shapetype id="_x0000_t202" o:spt="202" coordsize="21600,21600" path="m,l,21600r21600,l21600,xe">
                  <v:stroke joinstyle="miter"/>
                  <v:path gradientshapeok="t" o:connecttype="rect"/>
                </v:shapetype>
                <v:shape style="position:absolute;left:5;top:1205;width:2500;height:300" type="#_x0000_t202" id="docshape2" filled="false" stroked="true" strokeweight=".5pt" strokecolor="#000000">
                  <v:textbox inset="0,0,0,0">
                    <w:txbxContent>
                      <w:p>
                        <w:pPr>
                          <w:spacing w:before="66"/>
                          <w:ind w:left="194" w:right="0" w:firstLine="0"/>
                          <w:jc w:val="left"/>
                          <w:rPr>
                            <w:rFonts w:ascii="Arial"/>
                            <w:b/>
                            <w:sz w:val="18"/>
                          </w:rPr>
                        </w:pPr>
                        <w:r>
                          <w:rPr>
                            <w:rFonts w:ascii="Arial"/>
                            <w:b/>
                            <w:sz w:val="18"/>
                          </w:rPr>
                          <w:t>Ayuntamiento </w:t>
                        </w:r>
                        <w:r>
                          <w:rPr>
                            <w:rFonts w:ascii="Arial"/>
                            <w:b/>
                            <w:spacing w:val="-2"/>
                            <w:sz w:val="18"/>
                          </w:rPr>
                          <w:t>Valladolid</w:t>
                        </w:r>
                      </w:p>
                    </w:txbxContent>
                  </v:textbox>
                  <v:stroke dashstyle="solid"/>
                  <w10:wrap type="none"/>
                </v:shape>
                <v:shape style="position:absolute;left:5;top:5;width:2500;height:1200" type="#_x0000_t202" id="docshape3" filled="false" stroked="true" strokeweight=".5pt" strokecolor="#000000">
                  <v:textbox inset="0,0,0,0">
                    <w:txbxContent>
                      <w:p>
                        <w:pPr>
                          <w:spacing w:before="66"/>
                          <w:ind w:left="0" w:right="0" w:firstLine="0"/>
                          <w:jc w:val="center"/>
                          <w:rPr>
                            <w:rFonts w:ascii="Arial" w:hAnsi="Arial"/>
                            <w:b/>
                            <w:sz w:val="18"/>
                          </w:rPr>
                        </w:pPr>
                        <w:r>
                          <w:rPr>
                            <w:rFonts w:ascii="Arial" w:hAnsi="Arial"/>
                            <w:b/>
                            <w:spacing w:val="-2"/>
                            <w:sz w:val="18"/>
                          </w:rPr>
                          <w:t>Número</w:t>
                        </w:r>
                      </w:p>
                      <w:p>
                        <w:pPr>
                          <w:spacing w:before="110"/>
                          <w:ind w:left="0" w:right="0" w:firstLine="0"/>
                          <w:jc w:val="center"/>
                          <w:rPr>
                            <w:rFonts w:ascii="Arial"/>
                            <w:b/>
                            <w:sz w:val="14"/>
                          </w:rPr>
                        </w:pPr>
                        <w:r>
                          <w:rPr>
                            <w:rFonts w:ascii="Arial"/>
                            <w:b/>
                            <w:spacing w:val="-4"/>
                            <w:sz w:val="14"/>
                          </w:rPr>
                          <w:t>1766</w:t>
                        </w:r>
                      </w:p>
                      <w:p>
                        <w:pPr>
                          <w:spacing w:line="300" w:lineRule="atLeast" w:before="15"/>
                          <w:ind w:left="617" w:right="615" w:hanging="1"/>
                          <w:jc w:val="center"/>
                          <w:rPr>
                            <w:rFonts w:ascii="Arial"/>
                            <w:b/>
                            <w:sz w:val="16"/>
                          </w:rPr>
                        </w:pPr>
                        <w:r>
                          <w:rPr>
                            <w:rFonts w:ascii="Arial"/>
                            <w:b/>
                            <w:sz w:val="16"/>
                          </w:rPr>
                          <w:t>Fecha</w:t>
                        </w:r>
                        <w:r>
                          <w:rPr>
                            <w:rFonts w:ascii="Arial"/>
                            <w:b/>
                            <w:spacing w:val="-5"/>
                            <w:sz w:val="16"/>
                          </w:rPr>
                          <w:t> </w:t>
                        </w:r>
                        <w:r>
                          <w:rPr>
                            <w:rFonts w:ascii="Arial"/>
                            <w:b/>
                            <w:sz w:val="16"/>
                          </w:rPr>
                          <w:t>de</w:t>
                        </w:r>
                        <w:r>
                          <w:rPr>
                            <w:rFonts w:ascii="Arial"/>
                            <w:b/>
                            <w:spacing w:val="-5"/>
                            <w:sz w:val="16"/>
                          </w:rPr>
                          <w:t> </w:t>
                        </w:r>
                        <w:r>
                          <w:rPr>
                            <w:rFonts w:ascii="Arial"/>
                            <w:b/>
                            <w:sz w:val="16"/>
                          </w:rPr>
                          <w:t>Firma: 19/03/2026 </w:t>
                        </w:r>
                        <w:r>
                          <w:rPr>
                            <w:rFonts w:ascii="Arial"/>
                            <w:b/>
                            <w:spacing w:val="-2"/>
                            <w:sz w:val="16"/>
                          </w:rPr>
                          <w:t>14:38</w:t>
                        </w:r>
                      </w:p>
                    </w:txbxContent>
                  </v:textbox>
                  <v:stroke dashstyle="solid"/>
                  <w10:wrap type="none"/>
                </v:shape>
              </v:group>
            </w:pict>
          </mc:Fallback>
        </mc:AlternateContent>
      </w:r>
      <w:r>
        <w:rPr>
          <w:rFonts w:ascii="Times New Roman"/>
          <w:sz w:val="20"/>
        </w:rPr>
      </w:r>
    </w:p>
    <w:p>
      <w:pPr>
        <w:spacing w:before="0"/>
        <w:ind w:left="1751" w:right="0" w:firstLine="0"/>
        <w:jc w:val="left"/>
        <w:rPr>
          <w:rFonts w:ascii="Arial"/>
          <w:b/>
          <w:sz w:val="17"/>
        </w:rPr>
      </w:pPr>
      <w:r>
        <w:rPr>
          <w:rFonts w:ascii="Arial"/>
          <w:b/>
          <w:sz w:val="17"/>
        </w:rPr>
        <w:t>Ayuntamiento</w:t>
      </w:r>
      <w:r>
        <w:rPr>
          <w:rFonts w:ascii="Arial"/>
          <w:b/>
          <w:spacing w:val="21"/>
          <w:sz w:val="17"/>
        </w:rPr>
        <w:t> </w:t>
      </w:r>
      <w:r>
        <w:rPr>
          <w:rFonts w:ascii="Arial"/>
          <w:b/>
          <w:sz w:val="17"/>
        </w:rPr>
        <w:t>de</w:t>
      </w:r>
      <w:r>
        <w:rPr>
          <w:rFonts w:ascii="Arial"/>
          <w:b/>
          <w:spacing w:val="22"/>
          <w:sz w:val="17"/>
        </w:rPr>
        <w:t> </w:t>
      </w:r>
      <w:r>
        <w:rPr>
          <w:rFonts w:ascii="Arial"/>
          <w:b/>
          <w:spacing w:val="-2"/>
          <w:sz w:val="17"/>
        </w:rPr>
        <w:t>Valladolid</w:t>
      </w:r>
    </w:p>
    <w:p>
      <w:pPr>
        <w:spacing w:before="0"/>
        <w:ind w:left="1751" w:right="0" w:firstLine="0"/>
        <w:jc w:val="left"/>
        <w:rPr>
          <w:rFonts w:ascii="Arial" w:hAnsi="Arial"/>
          <w:b/>
          <w:sz w:val="14"/>
        </w:rPr>
      </w:pPr>
      <w:r>
        <w:rPr>
          <w:rFonts w:ascii="Arial" w:hAnsi="Arial"/>
          <w:b/>
          <w:sz w:val="14"/>
        </w:rPr>
        <w:t>Concejalía de</w:t>
      </w:r>
      <w:r>
        <w:rPr>
          <w:rFonts w:ascii="Arial" w:hAnsi="Arial"/>
          <w:b/>
          <w:spacing w:val="-2"/>
          <w:sz w:val="14"/>
        </w:rPr>
        <w:t> </w:t>
      </w:r>
      <w:r>
        <w:rPr>
          <w:rFonts w:ascii="Arial" w:hAnsi="Arial"/>
          <w:b/>
          <w:sz w:val="14"/>
        </w:rPr>
        <w:t>Urbanismo</w:t>
      </w:r>
      <w:r>
        <w:rPr>
          <w:rFonts w:ascii="Arial" w:hAnsi="Arial"/>
          <w:b/>
          <w:spacing w:val="-1"/>
          <w:sz w:val="14"/>
        </w:rPr>
        <w:t> </w:t>
      </w:r>
      <w:r>
        <w:rPr>
          <w:rFonts w:ascii="Arial" w:hAnsi="Arial"/>
          <w:b/>
          <w:sz w:val="14"/>
        </w:rPr>
        <w:t>y</w:t>
      </w:r>
      <w:r>
        <w:rPr>
          <w:rFonts w:ascii="Arial" w:hAnsi="Arial"/>
          <w:b/>
          <w:spacing w:val="-2"/>
          <w:sz w:val="14"/>
        </w:rPr>
        <w:t> Vivienda</w:t>
      </w:r>
    </w:p>
    <w:p>
      <w:pPr>
        <w:spacing w:before="0"/>
        <w:ind w:left="1751" w:right="0" w:firstLine="0"/>
        <w:jc w:val="left"/>
        <w:rPr>
          <w:rFonts w:ascii="Arial" w:hAnsi="Arial"/>
          <w:b/>
          <w:sz w:val="14"/>
        </w:rPr>
      </w:pPr>
      <w:r>
        <w:rPr>
          <w:rFonts w:ascii="Arial" w:hAnsi="Arial"/>
          <w:b/>
          <w:sz w:val="14"/>
        </w:rPr>
        <w:t>Secretaría</w:t>
      </w:r>
      <w:r>
        <w:rPr>
          <w:rFonts w:ascii="Arial" w:hAnsi="Arial"/>
          <w:b/>
          <w:spacing w:val="-2"/>
          <w:sz w:val="14"/>
        </w:rPr>
        <w:t> </w:t>
      </w:r>
      <w:r>
        <w:rPr>
          <w:rFonts w:ascii="Arial" w:hAnsi="Arial"/>
          <w:b/>
          <w:sz w:val="14"/>
        </w:rPr>
        <w:t>Ejecutiva</w:t>
      </w:r>
      <w:r>
        <w:rPr>
          <w:rFonts w:ascii="Arial" w:hAnsi="Arial"/>
          <w:b/>
          <w:spacing w:val="-1"/>
          <w:sz w:val="14"/>
        </w:rPr>
        <w:t> </w:t>
      </w:r>
      <w:r>
        <w:rPr>
          <w:rFonts w:ascii="Arial" w:hAnsi="Arial"/>
          <w:b/>
          <w:sz w:val="14"/>
        </w:rPr>
        <w:t>del Área</w:t>
      </w:r>
      <w:r>
        <w:rPr>
          <w:rFonts w:ascii="Arial" w:hAnsi="Arial"/>
          <w:b/>
          <w:spacing w:val="1"/>
          <w:sz w:val="14"/>
        </w:rPr>
        <w:t> </w:t>
      </w:r>
      <w:r>
        <w:rPr>
          <w:rFonts w:ascii="Arial" w:hAnsi="Arial"/>
          <w:b/>
          <w:sz w:val="14"/>
        </w:rPr>
        <w:t>de</w:t>
      </w:r>
      <w:r>
        <w:rPr>
          <w:rFonts w:ascii="Arial" w:hAnsi="Arial"/>
          <w:b/>
          <w:spacing w:val="-1"/>
          <w:sz w:val="14"/>
        </w:rPr>
        <w:t> </w:t>
      </w:r>
      <w:r>
        <w:rPr>
          <w:rFonts w:ascii="Arial" w:hAnsi="Arial"/>
          <w:b/>
          <w:sz w:val="14"/>
        </w:rPr>
        <w:t>Urbanismo y</w:t>
      </w:r>
      <w:r>
        <w:rPr>
          <w:rFonts w:ascii="Arial" w:hAnsi="Arial"/>
          <w:b/>
          <w:spacing w:val="-1"/>
          <w:sz w:val="14"/>
        </w:rPr>
        <w:t> </w:t>
      </w:r>
      <w:r>
        <w:rPr>
          <w:rFonts w:ascii="Arial" w:hAnsi="Arial"/>
          <w:b/>
          <w:spacing w:val="-2"/>
          <w:sz w:val="14"/>
        </w:rPr>
        <w:t>Vivienda</w:t>
      </w:r>
    </w:p>
    <w:p>
      <w:pPr>
        <w:pStyle w:val="BodyText"/>
        <w:spacing w:before="145"/>
        <w:rPr>
          <w:rFonts w:ascii="Arial"/>
          <w:b/>
        </w:rPr>
      </w:pPr>
    </w:p>
    <w:p>
      <w:pPr>
        <w:pStyle w:val="BodyText"/>
        <w:spacing w:line="242" w:lineRule="auto"/>
        <w:ind w:left="5897" w:right="1744"/>
        <w:jc w:val="both"/>
      </w:pPr>
      <w:r>
        <w:rPr>
          <w:b/>
        </w:rPr>
        <w:t>Asunto</w:t>
      </w:r>
      <w:r>
        <w:rPr>
          <w:i/>
        </w:rPr>
        <w:t>: </w:t>
      </w:r>
      <w:r>
        <w:rPr/>
        <w:t>Protocolo general de Actuación entre el Ayuntamiento de Valladolid y el Real</w:t>
      </w:r>
      <w:r>
        <w:rPr>
          <w:spacing w:val="-3"/>
        </w:rPr>
        <w:t> </w:t>
      </w:r>
      <w:r>
        <w:rPr/>
        <w:t>Valladolid</w:t>
      </w:r>
      <w:r>
        <w:rPr>
          <w:spacing w:val="-1"/>
        </w:rPr>
        <w:t> </w:t>
      </w:r>
      <w:r>
        <w:rPr/>
        <w:t>Club</w:t>
      </w:r>
      <w:r>
        <w:rPr>
          <w:spacing w:val="-5"/>
        </w:rPr>
        <w:t> </w:t>
      </w:r>
      <w:r>
        <w:rPr/>
        <w:t>de</w:t>
      </w:r>
      <w:r>
        <w:rPr>
          <w:spacing w:val="-4"/>
        </w:rPr>
        <w:t> </w:t>
      </w:r>
      <w:r>
        <w:rPr/>
        <w:t>Fútbol</w:t>
      </w:r>
      <w:r>
        <w:rPr>
          <w:spacing w:val="-1"/>
        </w:rPr>
        <w:t> </w:t>
      </w:r>
      <w:r>
        <w:rPr/>
        <w:t>S.A.D.,</w:t>
      </w:r>
      <w:r>
        <w:rPr>
          <w:spacing w:val="40"/>
        </w:rPr>
        <w:t> </w:t>
      </w:r>
      <w:r>
        <w:rPr/>
        <w:t>para determinar el esquema básico de colaboración para la mejora y uso del estadio José Zorrilla.</w:t>
      </w:r>
    </w:p>
    <w:p>
      <w:pPr>
        <w:pStyle w:val="BodyText"/>
        <w:spacing w:before="9"/>
      </w:pPr>
    </w:p>
    <w:p>
      <w:pPr>
        <w:spacing w:before="0"/>
        <w:ind w:left="5897" w:right="0" w:firstLine="0"/>
        <w:jc w:val="both"/>
        <w:rPr>
          <w:sz w:val="21"/>
        </w:rPr>
      </w:pPr>
      <w:r>
        <w:rPr>
          <w:b/>
          <w:sz w:val="21"/>
        </w:rPr>
        <w:t>Expediente</w:t>
      </w:r>
      <w:r>
        <w:rPr>
          <w:sz w:val="21"/>
        </w:rPr>
        <w:t>:</w:t>
      </w:r>
      <w:r>
        <w:rPr>
          <w:spacing w:val="7"/>
          <w:sz w:val="21"/>
        </w:rPr>
        <w:t> </w:t>
      </w:r>
      <w:r>
        <w:rPr>
          <w:spacing w:val="-2"/>
          <w:sz w:val="21"/>
        </w:rPr>
        <w:t>2026PRT_01000001</w:t>
      </w:r>
    </w:p>
    <w:p>
      <w:pPr>
        <w:pStyle w:val="BodyText"/>
        <w:spacing w:before="7"/>
      </w:pPr>
    </w:p>
    <w:p>
      <w:pPr>
        <w:spacing w:before="0"/>
        <w:ind w:left="5897" w:right="0" w:firstLine="0"/>
        <w:jc w:val="both"/>
        <w:rPr>
          <w:sz w:val="21"/>
        </w:rPr>
      </w:pPr>
      <w:r>
        <w:rPr>
          <w:b/>
          <w:sz w:val="21"/>
        </w:rPr>
        <w:t>Órgano</w:t>
      </w:r>
      <w:r>
        <w:rPr>
          <w:b/>
          <w:spacing w:val="5"/>
          <w:sz w:val="21"/>
        </w:rPr>
        <w:t> </w:t>
      </w:r>
      <w:r>
        <w:rPr>
          <w:b/>
          <w:sz w:val="21"/>
        </w:rPr>
        <w:t>decisorio</w:t>
      </w:r>
      <w:r>
        <w:rPr>
          <w:sz w:val="21"/>
        </w:rPr>
        <w:t>:</w:t>
      </w:r>
      <w:r>
        <w:rPr>
          <w:spacing w:val="3"/>
          <w:sz w:val="21"/>
        </w:rPr>
        <w:t> </w:t>
      </w:r>
      <w:r>
        <w:rPr>
          <w:sz w:val="21"/>
        </w:rPr>
        <w:t>Concejal</w:t>
      </w:r>
      <w:r>
        <w:rPr>
          <w:spacing w:val="6"/>
          <w:sz w:val="21"/>
        </w:rPr>
        <w:t> </w:t>
      </w:r>
      <w:r>
        <w:rPr>
          <w:spacing w:val="-2"/>
          <w:sz w:val="21"/>
        </w:rPr>
        <w:t>Delegado</w:t>
      </w:r>
    </w:p>
    <w:p>
      <w:pPr>
        <w:pStyle w:val="BodyText"/>
      </w:pPr>
    </w:p>
    <w:p>
      <w:pPr>
        <w:pStyle w:val="BodyText"/>
      </w:pPr>
    </w:p>
    <w:p>
      <w:pPr>
        <w:pStyle w:val="BodyText"/>
        <w:spacing w:before="12"/>
      </w:pPr>
    </w:p>
    <w:p>
      <w:pPr>
        <w:pStyle w:val="Heading1"/>
        <w:spacing w:before="1"/>
        <w:ind w:right="78"/>
      </w:pPr>
      <w:r>
        <w:rPr>
          <w:u w:val="single"/>
        </w:rPr>
        <w:t>PROPUESTA</w:t>
      </w:r>
      <w:r>
        <w:rPr>
          <w:spacing w:val="4"/>
          <w:u w:val="single"/>
        </w:rPr>
        <w:t> </w:t>
      </w:r>
      <w:r>
        <w:rPr>
          <w:u w:val="single"/>
        </w:rPr>
        <w:t>DE</w:t>
      </w:r>
      <w:r>
        <w:rPr>
          <w:spacing w:val="4"/>
          <w:u w:val="single"/>
        </w:rPr>
        <w:t> </w:t>
      </w:r>
      <w:r>
        <w:rPr>
          <w:spacing w:val="-2"/>
          <w:u w:val="single"/>
        </w:rPr>
        <w:t>RESOLUCIÓN</w:t>
      </w:r>
    </w:p>
    <w:p>
      <w:pPr>
        <w:pStyle w:val="BodyText"/>
        <w:spacing w:before="6"/>
        <w:rPr>
          <w:b/>
        </w:rPr>
      </w:pPr>
    </w:p>
    <w:p>
      <w:pPr>
        <w:pStyle w:val="BodyText"/>
        <w:spacing w:line="242" w:lineRule="auto"/>
        <w:ind w:left="1751" w:right="1526" w:firstLine="880"/>
      </w:pPr>
      <w:r>
        <w:rPr/>
        <w:t>La funcionaria que suscribe, en relación con el expediente referido, propone sea adoptada la resolución del siguiente tenor literal:</w:t>
      </w:r>
    </w:p>
    <w:p>
      <w:pPr>
        <w:pStyle w:val="BodyText"/>
      </w:pPr>
    </w:p>
    <w:p>
      <w:pPr>
        <w:pStyle w:val="BodyText"/>
        <w:spacing w:before="10"/>
      </w:pPr>
    </w:p>
    <w:p>
      <w:pPr>
        <w:pStyle w:val="BodyText"/>
        <w:spacing w:line="278" w:lineRule="auto"/>
        <w:ind w:left="1751" w:right="1744"/>
        <w:jc w:val="both"/>
      </w:pPr>
      <w:r>
        <w:rPr/>
        <w:t>“Visto el expediente 2026PRT_01000001, relativo a la aprobación del Protocolo general de Actuación entre el Ayuntamiento de Valladolid y el Real Valladolid Club de Fútbol S.A.D., para determinar el esquema básico de colaboración para la mejora y uso del estadio José Zorrilla, y atendido que:</w:t>
      </w:r>
    </w:p>
    <w:p>
      <w:pPr>
        <w:pStyle w:val="Heading1"/>
        <w:spacing w:before="217"/>
        <w:ind w:left="1751"/>
        <w:jc w:val="both"/>
      </w:pPr>
      <w:r>
        <w:rPr/>
        <w:t>ANTECEDENTES</w:t>
      </w:r>
      <w:r>
        <w:rPr>
          <w:spacing w:val="4"/>
        </w:rPr>
        <w:t> </w:t>
      </w:r>
      <w:r>
        <w:rPr/>
        <w:t>DE</w:t>
      </w:r>
      <w:r>
        <w:rPr>
          <w:spacing w:val="7"/>
        </w:rPr>
        <w:t> </w:t>
      </w:r>
      <w:r>
        <w:rPr>
          <w:spacing w:val="-2"/>
        </w:rPr>
        <w:t>HECHO</w:t>
      </w:r>
    </w:p>
    <w:p>
      <w:pPr>
        <w:pStyle w:val="BodyText"/>
        <w:rPr>
          <w:b/>
        </w:rPr>
      </w:pPr>
    </w:p>
    <w:p>
      <w:pPr>
        <w:pStyle w:val="ListParagraph"/>
        <w:numPr>
          <w:ilvl w:val="0"/>
          <w:numId w:val="1"/>
        </w:numPr>
        <w:tabs>
          <w:tab w:pos="1748" w:val="left" w:leader="none"/>
          <w:tab w:pos="1751" w:val="left" w:leader="none"/>
        </w:tabs>
        <w:spacing w:line="278" w:lineRule="auto" w:before="0" w:after="0"/>
        <w:ind w:left="1751" w:right="1749" w:hanging="252"/>
        <w:jc w:val="both"/>
        <w:rPr>
          <w:sz w:val="21"/>
        </w:rPr>
      </w:pPr>
      <w:r>
        <w:rPr>
          <w:sz w:val="21"/>
        </w:rPr>
        <w:t>El actual equipo de gobierno municipal ha manifestado su interés en llevar a cabo una remodelación del Estadio José Zorrilla que genere una infraestructura moderna y atractiva de la ciudad y que sea capaz de albergar grandes competiciones deportivas y otro tipo de eventos lúdicos y culturales.</w:t>
      </w:r>
    </w:p>
    <w:p>
      <w:pPr>
        <w:pStyle w:val="BodyText"/>
        <w:spacing w:before="48"/>
      </w:pPr>
    </w:p>
    <w:p>
      <w:pPr>
        <w:pStyle w:val="ListParagraph"/>
        <w:numPr>
          <w:ilvl w:val="0"/>
          <w:numId w:val="1"/>
        </w:numPr>
        <w:tabs>
          <w:tab w:pos="1748" w:val="left" w:leader="none"/>
          <w:tab w:pos="1751" w:val="left" w:leader="none"/>
        </w:tabs>
        <w:spacing w:line="278" w:lineRule="auto" w:before="0" w:after="0"/>
        <w:ind w:left="1751" w:right="1747" w:hanging="252"/>
        <w:jc w:val="both"/>
        <w:rPr>
          <w:sz w:val="21"/>
        </w:rPr>
      </w:pPr>
      <w:r>
        <w:rPr>
          <w:sz w:val="21"/>
        </w:rPr>
        <w:t>Es</w:t>
      </w:r>
      <w:r>
        <w:rPr>
          <w:spacing w:val="-4"/>
          <w:sz w:val="21"/>
        </w:rPr>
        <w:t> </w:t>
      </w:r>
      <w:r>
        <w:rPr>
          <w:sz w:val="21"/>
        </w:rPr>
        <w:t>igualmente</w:t>
      </w:r>
      <w:r>
        <w:rPr>
          <w:spacing w:val="-3"/>
          <w:sz w:val="21"/>
        </w:rPr>
        <w:t> </w:t>
      </w:r>
      <w:r>
        <w:rPr>
          <w:sz w:val="21"/>
        </w:rPr>
        <w:t>voluntad</w:t>
      </w:r>
      <w:r>
        <w:rPr>
          <w:spacing w:val="-5"/>
          <w:sz w:val="21"/>
        </w:rPr>
        <w:t> </w:t>
      </w:r>
      <w:r>
        <w:rPr>
          <w:sz w:val="21"/>
        </w:rPr>
        <w:t>del</w:t>
      </w:r>
      <w:r>
        <w:rPr>
          <w:spacing w:val="-3"/>
          <w:sz w:val="21"/>
        </w:rPr>
        <w:t> </w:t>
      </w:r>
      <w:r>
        <w:rPr>
          <w:sz w:val="21"/>
        </w:rPr>
        <w:t>Real</w:t>
      </w:r>
      <w:r>
        <w:rPr>
          <w:spacing w:val="-3"/>
          <w:sz w:val="21"/>
        </w:rPr>
        <w:t> </w:t>
      </w:r>
      <w:r>
        <w:rPr>
          <w:sz w:val="21"/>
        </w:rPr>
        <w:t>Valladolid</w:t>
      </w:r>
      <w:r>
        <w:rPr>
          <w:spacing w:val="-3"/>
          <w:sz w:val="21"/>
        </w:rPr>
        <w:t> </w:t>
      </w:r>
      <w:r>
        <w:rPr>
          <w:sz w:val="21"/>
        </w:rPr>
        <w:t>Club</w:t>
      </w:r>
      <w:r>
        <w:rPr>
          <w:spacing w:val="-5"/>
          <w:sz w:val="21"/>
        </w:rPr>
        <w:t> </w:t>
      </w:r>
      <w:r>
        <w:rPr>
          <w:sz w:val="21"/>
        </w:rPr>
        <w:t>de</w:t>
      </w:r>
      <w:r>
        <w:rPr>
          <w:spacing w:val="-5"/>
          <w:sz w:val="21"/>
        </w:rPr>
        <w:t> </w:t>
      </w:r>
      <w:r>
        <w:rPr>
          <w:sz w:val="21"/>
        </w:rPr>
        <w:t>Fútbol</w:t>
      </w:r>
      <w:r>
        <w:rPr>
          <w:spacing w:val="-5"/>
          <w:sz w:val="21"/>
        </w:rPr>
        <w:t> </w:t>
      </w:r>
      <w:r>
        <w:rPr>
          <w:sz w:val="21"/>
        </w:rPr>
        <w:t>S.A.D.,</w:t>
      </w:r>
      <w:r>
        <w:rPr>
          <w:spacing w:val="-3"/>
          <w:sz w:val="21"/>
        </w:rPr>
        <w:t> </w:t>
      </w:r>
      <w:r>
        <w:rPr>
          <w:sz w:val="21"/>
        </w:rPr>
        <w:t>modernizar</w:t>
      </w:r>
      <w:r>
        <w:rPr>
          <w:spacing w:val="-3"/>
          <w:sz w:val="21"/>
        </w:rPr>
        <w:t> </w:t>
      </w:r>
      <w:r>
        <w:rPr>
          <w:sz w:val="21"/>
        </w:rPr>
        <w:t>el</w:t>
      </w:r>
      <w:r>
        <w:rPr>
          <w:spacing w:val="-3"/>
          <w:sz w:val="21"/>
        </w:rPr>
        <w:t> </w:t>
      </w:r>
      <w:r>
        <w:rPr>
          <w:sz w:val="21"/>
        </w:rPr>
        <w:t>estadio</w:t>
      </w:r>
      <w:r>
        <w:rPr>
          <w:spacing w:val="-5"/>
          <w:sz w:val="21"/>
        </w:rPr>
        <w:t> </w:t>
      </w:r>
      <w:r>
        <w:rPr>
          <w:sz w:val="21"/>
        </w:rPr>
        <w:t>para adaptarlo a los parámetros y estándares que establecen FIFA y UEFA para acoger competiciones internacionales.</w:t>
      </w:r>
    </w:p>
    <w:p>
      <w:pPr>
        <w:pStyle w:val="BodyText"/>
        <w:spacing w:before="45"/>
      </w:pPr>
    </w:p>
    <w:p>
      <w:pPr>
        <w:pStyle w:val="ListParagraph"/>
        <w:numPr>
          <w:ilvl w:val="0"/>
          <w:numId w:val="1"/>
        </w:numPr>
        <w:tabs>
          <w:tab w:pos="1748" w:val="left" w:leader="none"/>
          <w:tab w:pos="1751" w:val="left" w:leader="none"/>
        </w:tabs>
        <w:spacing w:line="280" w:lineRule="auto" w:before="0" w:after="0"/>
        <w:ind w:left="1751" w:right="1747" w:hanging="252"/>
        <w:jc w:val="both"/>
        <w:rPr>
          <w:sz w:val="21"/>
        </w:rPr>
      </w:pPr>
      <w:r>
        <w:rPr>
          <w:sz w:val="21"/>
        </w:rPr>
        <w:t>En la actualidad el uso de este equipamiento se encuentra cedido al Real Valladolid y regulado por un Convenio suscrito con fecha 3 de junio de 1997. Dicho Convenio se encuentra plenamente</w:t>
      </w:r>
      <w:r>
        <w:rPr>
          <w:spacing w:val="19"/>
          <w:sz w:val="21"/>
        </w:rPr>
        <w:t> </w:t>
      </w:r>
      <w:r>
        <w:rPr>
          <w:sz w:val="21"/>
        </w:rPr>
        <w:t>vigente hasta</w:t>
      </w:r>
      <w:r>
        <w:rPr>
          <w:spacing w:val="19"/>
          <w:sz w:val="21"/>
        </w:rPr>
        <w:t> </w:t>
      </w:r>
      <w:r>
        <w:rPr>
          <w:sz w:val="21"/>
        </w:rPr>
        <w:t>el</w:t>
      </w:r>
      <w:r>
        <w:rPr>
          <w:spacing w:val="19"/>
          <w:sz w:val="21"/>
        </w:rPr>
        <w:t> </w:t>
      </w:r>
      <w:r>
        <w:rPr>
          <w:sz w:val="21"/>
        </w:rPr>
        <w:t>año</w:t>
      </w:r>
      <w:r>
        <w:rPr>
          <w:spacing w:val="19"/>
          <w:sz w:val="21"/>
        </w:rPr>
        <w:t> </w:t>
      </w:r>
      <w:r>
        <w:rPr>
          <w:sz w:val="21"/>
        </w:rPr>
        <w:t>2037,</w:t>
      </w:r>
      <w:r>
        <w:rPr>
          <w:spacing w:val="19"/>
          <w:sz w:val="21"/>
        </w:rPr>
        <w:t> </w:t>
      </w:r>
      <w:r>
        <w:rPr>
          <w:sz w:val="21"/>
        </w:rPr>
        <w:t>si bien resulta</w:t>
      </w:r>
      <w:r>
        <w:rPr>
          <w:spacing w:val="19"/>
          <w:sz w:val="21"/>
        </w:rPr>
        <w:t> </w:t>
      </w:r>
      <w:r>
        <w:rPr>
          <w:sz w:val="21"/>
        </w:rPr>
        <w:t>conveniente determinar</w:t>
      </w:r>
    </w:p>
    <w:p>
      <w:pPr>
        <w:pStyle w:val="BodyText"/>
        <w:spacing w:before="188"/>
        <w:rPr>
          <w:sz w:val="17"/>
        </w:rPr>
      </w:pPr>
    </w:p>
    <w:p>
      <w:pPr>
        <w:spacing w:before="1"/>
        <w:ind w:left="78" w:right="78" w:firstLine="0"/>
        <w:jc w:val="center"/>
        <w:rPr>
          <w:rFonts w:ascii="Times New Roman"/>
          <w:sz w:val="17"/>
        </w:rPr>
      </w:pPr>
      <w:r>
        <w:rPr>
          <w:rFonts w:ascii="Times New Roman"/>
          <w:spacing w:val="-10"/>
          <w:w w:val="105"/>
          <w:sz w:val="17"/>
        </w:rPr>
        <w:t>1</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96" w:after="1"/>
        <w:rPr>
          <w:rFonts w:ascii="Times New Roman"/>
          <w:sz w:val="20"/>
        </w:rPr>
      </w:pPr>
    </w:p>
    <w:tbl>
      <w:tblPr>
        <w:tblW w:w="0" w:type="auto"/>
        <w:jc w:val="left"/>
        <w:tblInd w:w="5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059"/>
        <w:gridCol w:w="5367"/>
        <w:gridCol w:w="1073"/>
        <w:gridCol w:w="1630"/>
        <w:gridCol w:w="1150"/>
      </w:tblGrid>
      <w:tr>
        <w:trPr>
          <w:trHeight w:val="220" w:hRule="atLeast"/>
        </w:trPr>
        <w:tc>
          <w:tcPr>
            <w:tcW w:w="2059" w:type="dxa"/>
            <w:tcBorders>
              <w:bottom w:val="single" w:sz="4" w:space="0" w:color="000000"/>
              <w:right w:val="single" w:sz="4" w:space="0" w:color="000000"/>
            </w:tcBorders>
            <w:shd w:val="clear" w:color="auto" w:fill="BFBFBF"/>
          </w:tcPr>
          <w:p>
            <w:pPr>
              <w:pStyle w:val="TableParagraph"/>
              <w:spacing w:before="53"/>
              <w:rPr>
                <w:sz w:val="14"/>
              </w:rPr>
            </w:pPr>
            <w:r>
              <w:rPr>
                <w:sz w:val="14"/>
              </w:rPr>
              <w:t>Código Seguro de </w:t>
            </w:r>
            <w:r>
              <w:rPr>
                <w:spacing w:val="-2"/>
                <w:sz w:val="14"/>
              </w:rPr>
              <w:t>Verificación</w:t>
            </w:r>
          </w:p>
        </w:tc>
        <w:tc>
          <w:tcPr>
            <w:tcW w:w="5367" w:type="dxa"/>
            <w:tcBorders>
              <w:left w:val="single" w:sz="4" w:space="0" w:color="000000"/>
              <w:bottom w:val="single" w:sz="4" w:space="0" w:color="000000"/>
              <w:right w:val="single" w:sz="4" w:space="0" w:color="000000"/>
            </w:tcBorders>
          </w:tcPr>
          <w:p>
            <w:pPr>
              <w:pStyle w:val="TableParagraph"/>
              <w:spacing w:before="53"/>
              <w:ind w:left="1629"/>
              <w:jc w:val="left"/>
              <w:rPr>
                <w:sz w:val="14"/>
              </w:rPr>
            </w:pPr>
            <w:r>
              <w:rPr>
                <w:spacing w:val="-2"/>
                <w:sz w:val="14"/>
              </w:rPr>
              <w:t>IVVH2O73JIMOJ6P3AXVBIF36IY</w:t>
            </w:r>
          </w:p>
        </w:tc>
        <w:tc>
          <w:tcPr>
            <w:tcW w:w="1073" w:type="dxa"/>
            <w:tcBorders>
              <w:left w:val="single" w:sz="4" w:space="0" w:color="000000"/>
              <w:bottom w:val="single" w:sz="4" w:space="0" w:color="000000"/>
              <w:right w:val="single" w:sz="4" w:space="0" w:color="000000"/>
            </w:tcBorders>
            <w:shd w:val="clear" w:color="auto" w:fill="BFBFBF"/>
          </w:tcPr>
          <w:p>
            <w:pPr>
              <w:pStyle w:val="TableParagraph"/>
              <w:spacing w:before="53"/>
              <w:ind w:left="11"/>
              <w:rPr>
                <w:sz w:val="14"/>
              </w:rPr>
            </w:pPr>
            <w:r>
              <w:rPr>
                <w:spacing w:val="-2"/>
                <w:sz w:val="14"/>
              </w:rPr>
              <w:t>Fecha</w:t>
            </w:r>
          </w:p>
        </w:tc>
        <w:tc>
          <w:tcPr>
            <w:tcW w:w="1630" w:type="dxa"/>
            <w:tcBorders>
              <w:left w:val="single" w:sz="4" w:space="0" w:color="000000"/>
              <w:bottom w:val="single" w:sz="4" w:space="0" w:color="000000"/>
            </w:tcBorders>
          </w:tcPr>
          <w:p>
            <w:pPr>
              <w:pStyle w:val="TableParagraph"/>
              <w:spacing w:before="53"/>
              <w:ind w:left="2"/>
              <w:rPr>
                <w:sz w:val="14"/>
              </w:rPr>
            </w:pPr>
            <w:r>
              <w:rPr>
                <w:sz w:val="14"/>
              </w:rPr>
              <w:t>19/03/2026 </w:t>
            </w:r>
            <w:r>
              <w:rPr>
                <w:spacing w:val="-2"/>
                <w:sz w:val="14"/>
              </w:rPr>
              <w:t>14:38:06</w:t>
            </w:r>
          </w:p>
        </w:tc>
        <w:tc>
          <w:tcPr>
            <w:tcW w:w="1150" w:type="dxa"/>
            <w:vMerge w:val="restart"/>
            <w:tcBorders>
              <w:top w:val="single" w:sz="4" w:space="0" w:color="000000"/>
              <w:bottom w:val="single" w:sz="4" w:space="0" w:color="000000"/>
              <w:right w:val="single" w:sz="4" w:space="0" w:color="000000"/>
            </w:tcBorders>
          </w:tcPr>
          <w:p>
            <w:pPr>
              <w:pStyle w:val="TableParagraph"/>
              <w:spacing w:line="240" w:lineRule="auto" w:before="0"/>
              <w:ind w:left="0"/>
              <w:jc w:val="left"/>
              <w:rPr>
                <w:rFonts w:ascii="Times New Roman"/>
                <w:sz w:val="20"/>
              </w:rPr>
            </w:pPr>
          </w:p>
          <w:p>
            <w:pPr>
              <w:pStyle w:val="TableParagraph"/>
              <w:spacing w:line="240" w:lineRule="auto" w:before="2" w:after="1"/>
              <w:ind w:left="0"/>
              <w:jc w:val="left"/>
              <w:rPr>
                <w:rFonts w:ascii="Times New Roman"/>
                <w:sz w:val="20"/>
              </w:rPr>
            </w:pPr>
          </w:p>
          <w:p>
            <w:pPr>
              <w:pStyle w:val="TableParagraph"/>
              <w:spacing w:line="240" w:lineRule="auto" w:before="0"/>
              <w:ind w:left="123"/>
              <w:jc w:val="left"/>
              <w:rPr>
                <w:rFonts w:ascii="Times New Roman"/>
                <w:sz w:val="20"/>
              </w:rPr>
            </w:pPr>
            <w:r>
              <w:rPr>
                <w:rFonts w:ascii="Times New Roman"/>
                <w:sz w:val="20"/>
              </w:rPr>
              <w:drawing>
                <wp:inline distT="0" distB="0" distL="0" distR="0">
                  <wp:extent cx="574452" cy="574452"/>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574452" cy="574452"/>
                          </a:xfrm>
                          <a:prstGeom prst="rect">
                            <a:avLst/>
                          </a:prstGeom>
                        </pic:spPr>
                      </pic:pic>
                    </a:graphicData>
                  </a:graphic>
                </wp:inline>
              </w:drawing>
            </w:r>
            <w:r>
              <w:rPr>
                <w:rFonts w:ascii="Times New Roman"/>
                <w:sz w:val="20"/>
              </w:rPr>
            </w:r>
          </w:p>
        </w:tc>
      </w:tr>
      <w:tr>
        <w:trPr>
          <w:trHeight w:val="35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spacing w:line="240" w:lineRule="auto" w:before="113"/>
              <w:rPr>
                <w:sz w:val="14"/>
              </w:rPr>
            </w:pPr>
            <w:r>
              <w:rPr>
                <w:spacing w:val="-2"/>
                <w:sz w:val="14"/>
              </w:rPr>
              <w:t>Normativa</w:t>
            </w:r>
          </w:p>
        </w:tc>
        <w:tc>
          <w:tcPr>
            <w:tcW w:w="8070" w:type="dxa"/>
            <w:gridSpan w:val="3"/>
            <w:tcBorders>
              <w:top w:val="single" w:sz="4" w:space="0" w:color="000000"/>
              <w:left w:val="single" w:sz="4" w:space="0" w:color="000000"/>
              <w:bottom w:val="single" w:sz="4" w:space="0" w:color="000000"/>
            </w:tcBorders>
          </w:tcPr>
          <w:p>
            <w:pPr>
              <w:pStyle w:val="TableParagraph"/>
              <w:spacing w:line="140" w:lineRule="exact" w:before="50"/>
              <w:ind w:left="2737" w:right="45" w:hanging="2607"/>
              <w:jc w:val="left"/>
              <w:rPr>
                <w:sz w:val="14"/>
              </w:rPr>
            </w:pPr>
            <w:r>
              <w:rPr>
                <w:sz w:val="14"/>
              </w:rPr>
              <w:t>Firma</w:t>
            </w:r>
            <w:r>
              <w:rPr>
                <w:spacing w:val="-3"/>
                <w:sz w:val="14"/>
              </w:rPr>
              <w:t> </w:t>
            </w:r>
            <w:r>
              <w:rPr>
                <w:sz w:val="14"/>
              </w:rPr>
              <w:t>electrónica</w:t>
            </w:r>
            <w:r>
              <w:rPr>
                <w:spacing w:val="-3"/>
                <w:sz w:val="14"/>
              </w:rPr>
              <w:t> </w:t>
            </w:r>
            <w:r>
              <w:rPr>
                <w:sz w:val="14"/>
              </w:rPr>
              <w:t>de</w:t>
            </w:r>
            <w:r>
              <w:rPr>
                <w:spacing w:val="-3"/>
                <w:sz w:val="14"/>
              </w:rPr>
              <w:t> </w:t>
            </w:r>
            <w:r>
              <w:rPr>
                <w:sz w:val="14"/>
              </w:rPr>
              <w:t>confianza,</w:t>
            </w:r>
            <w:r>
              <w:rPr>
                <w:spacing w:val="-3"/>
                <w:sz w:val="14"/>
              </w:rPr>
              <w:t> </w:t>
            </w:r>
            <w:r>
              <w:rPr>
                <w:sz w:val="14"/>
              </w:rPr>
              <w:t>de</w:t>
            </w:r>
            <w:r>
              <w:rPr>
                <w:spacing w:val="-3"/>
                <w:sz w:val="14"/>
              </w:rPr>
              <w:t> </w:t>
            </w:r>
            <w:r>
              <w:rPr>
                <w:sz w:val="14"/>
              </w:rPr>
              <w:t>conformidad</w:t>
            </w:r>
            <w:r>
              <w:rPr>
                <w:spacing w:val="-3"/>
                <w:sz w:val="14"/>
              </w:rPr>
              <w:t> </w:t>
            </w:r>
            <w:r>
              <w:rPr>
                <w:sz w:val="14"/>
              </w:rPr>
              <w:t>con</w:t>
            </w:r>
            <w:r>
              <w:rPr>
                <w:spacing w:val="-3"/>
                <w:sz w:val="14"/>
              </w:rPr>
              <w:t> </w:t>
            </w:r>
            <w:r>
              <w:rPr>
                <w:sz w:val="14"/>
              </w:rPr>
              <w:t>la</w:t>
            </w:r>
            <w:r>
              <w:rPr>
                <w:spacing w:val="-3"/>
                <w:sz w:val="14"/>
              </w:rPr>
              <w:t> </w:t>
            </w:r>
            <w:r>
              <w:rPr>
                <w:sz w:val="14"/>
              </w:rPr>
              <w:t>ley</w:t>
            </w:r>
            <w:r>
              <w:rPr>
                <w:spacing w:val="-3"/>
                <w:sz w:val="14"/>
              </w:rPr>
              <w:t> </w:t>
            </w:r>
            <w:r>
              <w:rPr>
                <w:sz w:val="14"/>
              </w:rPr>
              <w:t>6/2020,</w:t>
            </w:r>
            <w:r>
              <w:rPr>
                <w:spacing w:val="-3"/>
                <w:sz w:val="14"/>
              </w:rPr>
              <w:t> </w:t>
            </w:r>
            <w:r>
              <w:rPr>
                <w:sz w:val="14"/>
              </w:rPr>
              <w:t>de</w:t>
            </w:r>
            <w:r>
              <w:rPr>
                <w:spacing w:val="-3"/>
                <w:sz w:val="14"/>
              </w:rPr>
              <w:t> </w:t>
            </w:r>
            <w:r>
              <w:rPr>
                <w:sz w:val="14"/>
              </w:rPr>
              <w:t>11</w:t>
            </w:r>
            <w:r>
              <w:rPr>
                <w:spacing w:val="-3"/>
                <w:sz w:val="14"/>
              </w:rPr>
              <w:t> </w:t>
            </w:r>
            <w:r>
              <w:rPr>
                <w:sz w:val="14"/>
              </w:rPr>
              <w:t>de</w:t>
            </w:r>
            <w:r>
              <w:rPr>
                <w:spacing w:val="-3"/>
                <w:sz w:val="14"/>
              </w:rPr>
              <w:t> </w:t>
            </w:r>
            <w:r>
              <w:rPr>
                <w:sz w:val="14"/>
              </w:rPr>
              <w:t>noviembre,</w:t>
            </w:r>
            <w:r>
              <w:rPr>
                <w:spacing w:val="-3"/>
                <w:sz w:val="14"/>
              </w:rPr>
              <w:t> </w:t>
            </w:r>
            <w:r>
              <w:rPr>
                <w:sz w:val="14"/>
              </w:rPr>
              <w:t>reguladora</w:t>
            </w:r>
            <w:r>
              <w:rPr>
                <w:spacing w:val="-3"/>
                <w:sz w:val="14"/>
              </w:rPr>
              <w:t> </w:t>
            </w:r>
            <w:r>
              <w:rPr>
                <w:sz w:val="14"/>
              </w:rPr>
              <w:t>de</w:t>
            </w:r>
            <w:r>
              <w:rPr>
                <w:spacing w:val="-3"/>
                <w:sz w:val="14"/>
              </w:rPr>
              <w:t> </w:t>
            </w:r>
            <w:r>
              <w:rPr>
                <w:sz w:val="14"/>
              </w:rPr>
              <w:t>determinados</w:t>
            </w:r>
            <w:r>
              <w:rPr>
                <w:spacing w:val="-3"/>
                <w:sz w:val="14"/>
              </w:rPr>
              <w:t> </w:t>
            </w:r>
            <w:r>
              <w:rPr>
                <w:sz w:val="14"/>
              </w:rPr>
              <w:t>aspectos</w:t>
            </w:r>
            <w:r>
              <w:rPr>
                <w:spacing w:val="40"/>
                <w:sz w:val="14"/>
              </w:rPr>
              <w:t> </w:t>
            </w:r>
            <w:r>
              <w:rPr>
                <w:sz w:val="14"/>
              </w:rPr>
              <w:t>de los servicios electrónicos de confianza</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FERNANDO BURÓN </w:t>
            </w:r>
            <w:r>
              <w:rPr>
                <w:spacing w:val="-2"/>
                <w:sz w:val="14"/>
              </w:rPr>
              <w:t>ÁLVAREZ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JOSÉ IGNACIO ZARANDONA </w:t>
            </w:r>
            <w:r>
              <w:rPr>
                <w:spacing w:val="-2"/>
                <w:sz w:val="14"/>
              </w:rPr>
              <w:t>FERNÁNDEZ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360" w:hRule="atLeast"/>
        </w:trPr>
        <w:tc>
          <w:tcPr>
            <w:tcW w:w="2059" w:type="dxa"/>
            <w:tcBorders>
              <w:top w:val="single" w:sz="4" w:space="0" w:color="000000"/>
              <w:right w:val="single" w:sz="4" w:space="0" w:color="000000"/>
            </w:tcBorders>
            <w:shd w:val="clear" w:color="auto" w:fill="BFBFBF"/>
          </w:tcPr>
          <w:p>
            <w:pPr>
              <w:pStyle w:val="TableParagraph"/>
              <w:spacing w:line="240" w:lineRule="auto" w:before="113"/>
              <w:rPr>
                <w:sz w:val="14"/>
              </w:rPr>
            </w:pPr>
            <w:r>
              <w:rPr>
                <w:sz w:val="14"/>
              </w:rPr>
              <w:t>Url de </w:t>
            </w:r>
            <w:r>
              <w:rPr>
                <w:spacing w:val="-2"/>
                <w:sz w:val="14"/>
              </w:rPr>
              <w:t>verificación</w:t>
            </w:r>
          </w:p>
        </w:tc>
        <w:tc>
          <w:tcPr>
            <w:tcW w:w="5367" w:type="dxa"/>
            <w:tcBorders>
              <w:top w:val="single" w:sz="4" w:space="0" w:color="000000"/>
              <w:left w:val="single" w:sz="4" w:space="0" w:color="000000"/>
              <w:right w:val="single" w:sz="4" w:space="0" w:color="000000"/>
            </w:tcBorders>
          </w:tcPr>
          <w:p>
            <w:pPr>
              <w:pStyle w:val="TableParagraph"/>
              <w:spacing w:line="140" w:lineRule="exact" w:before="60"/>
              <w:ind w:left="1263" w:firstLine="148"/>
              <w:jc w:val="left"/>
              <w:rPr>
                <w:sz w:val="14"/>
              </w:rPr>
            </w:pPr>
            <w:r>
              <w:rPr>
                <w:spacing w:val="-2"/>
                <w:sz w:val="14"/>
              </w:rPr>
              <w:t>https://sede.valladolid.es/moad/verifirma-</w:t>
            </w:r>
            <w:r>
              <w:rPr>
                <w:spacing w:val="40"/>
                <w:sz w:val="14"/>
              </w:rPr>
              <w:t> </w:t>
            </w:r>
            <w:r>
              <w:rPr>
                <w:spacing w:val="-2"/>
                <w:sz w:val="14"/>
              </w:rPr>
              <w:t>moad/code/IVVH2O73JIMOJ6P3AXVBIF36IY</w:t>
            </w:r>
          </w:p>
        </w:tc>
        <w:tc>
          <w:tcPr>
            <w:tcW w:w="1073" w:type="dxa"/>
            <w:tcBorders>
              <w:top w:val="single" w:sz="4" w:space="0" w:color="000000"/>
              <w:left w:val="single" w:sz="4" w:space="0" w:color="000000"/>
              <w:right w:val="single" w:sz="4" w:space="0" w:color="000000"/>
            </w:tcBorders>
            <w:shd w:val="clear" w:color="auto" w:fill="BFBFBF"/>
          </w:tcPr>
          <w:p>
            <w:pPr>
              <w:pStyle w:val="TableParagraph"/>
              <w:spacing w:line="240" w:lineRule="auto" w:before="113"/>
              <w:ind w:left="11"/>
              <w:rPr>
                <w:sz w:val="14"/>
              </w:rPr>
            </w:pPr>
            <w:r>
              <w:rPr>
                <w:spacing w:val="-2"/>
                <w:sz w:val="14"/>
              </w:rPr>
              <w:t>Página</w:t>
            </w:r>
          </w:p>
        </w:tc>
        <w:tc>
          <w:tcPr>
            <w:tcW w:w="1630" w:type="dxa"/>
            <w:tcBorders>
              <w:top w:val="single" w:sz="4" w:space="0" w:color="000000"/>
              <w:left w:val="single" w:sz="4" w:space="0" w:color="000000"/>
            </w:tcBorders>
          </w:tcPr>
          <w:p>
            <w:pPr>
              <w:pStyle w:val="TableParagraph"/>
              <w:spacing w:line="240" w:lineRule="auto" w:before="113"/>
              <w:ind w:left="2" w:right="1"/>
              <w:rPr>
                <w:sz w:val="14"/>
              </w:rPr>
            </w:pPr>
            <w:r>
              <w:rPr>
                <w:spacing w:val="-5"/>
                <w:sz w:val="14"/>
              </w:rPr>
              <w:t>1/3</w:t>
            </w:r>
          </w:p>
        </w:tc>
        <w:tc>
          <w:tcPr>
            <w:tcW w:w="1150" w:type="dxa"/>
            <w:vMerge/>
            <w:tcBorders>
              <w:top w:val="nil"/>
              <w:bottom w:val="single" w:sz="4" w:space="0" w:color="000000"/>
              <w:right w:val="single" w:sz="4" w:space="0" w:color="000000"/>
            </w:tcBorders>
          </w:tcPr>
          <w:p>
            <w:pPr>
              <w:rPr>
                <w:sz w:val="2"/>
                <w:szCs w:val="2"/>
              </w:rPr>
            </w:pPr>
          </w:p>
        </w:tc>
      </w:tr>
    </w:tbl>
    <w:p>
      <w:pPr>
        <w:spacing w:after="0"/>
        <w:rPr>
          <w:sz w:val="2"/>
          <w:szCs w:val="2"/>
        </w:rPr>
        <w:sectPr>
          <w:type w:val="continuous"/>
          <w:pgSz w:w="11900" w:h="16840"/>
          <w:pgMar w:top="80" w:bottom="0" w:left="283" w:right="283"/>
        </w:sectPr>
      </w:pPr>
    </w:p>
    <w:p>
      <w:pPr>
        <w:pStyle w:val="BodyText"/>
        <w:spacing w:line="280" w:lineRule="auto" w:before="163"/>
        <w:ind w:left="1751" w:right="1526"/>
      </w:pPr>
      <w:r>
        <w:rPr/>
        <mc:AlternateContent>
          <mc:Choice Requires="wps">
            <w:drawing>
              <wp:anchor distT="0" distB="0" distL="0" distR="0" allowOverlap="1" layoutInCell="1" locked="0" behindDoc="0" simplePos="0" relativeHeight="15729152">
                <wp:simplePos x="0" y="0"/>
                <wp:positionH relativeFrom="page">
                  <wp:posOffset>161925</wp:posOffset>
                </wp:positionH>
                <wp:positionV relativeFrom="page">
                  <wp:posOffset>9305925</wp:posOffset>
                </wp:positionV>
                <wp:extent cx="7245350" cy="120015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7245350" cy="1200150"/>
                        </a:xfrm>
                        <a:prstGeom prst="rect">
                          <a:avLst/>
                        </a:prstGeom>
                      </wps:spPr>
                      <wps:txbx>
                        <w:txbxContent>
                          <w:tbl>
                            <w:tblPr>
                              <w:tblW w:w="0" w:type="auto"/>
                              <w:jc w:val="left"/>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059"/>
                              <w:gridCol w:w="5367"/>
                              <w:gridCol w:w="1073"/>
                              <w:gridCol w:w="1630"/>
                              <w:gridCol w:w="1150"/>
                            </w:tblGrid>
                            <w:tr>
                              <w:trPr>
                                <w:trHeight w:val="220" w:hRule="atLeast"/>
                              </w:trPr>
                              <w:tc>
                                <w:tcPr>
                                  <w:tcW w:w="2059" w:type="dxa"/>
                                  <w:tcBorders>
                                    <w:bottom w:val="single" w:sz="4" w:space="0" w:color="000000"/>
                                    <w:right w:val="single" w:sz="4" w:space="0" w:color="000000"/>
                                  </w:tcBorders>
                                  <w:shd w:val="clear" w:color="auto" w:fill="BFBFBF"/>
                                </w:tcPr>
                                <w:p>
                                  <w:pPr>
                                    <w:pStyle w:val="TableParagraph"/>
                                    <w:spacing w:before="53"/>
                                    <w:rPr>
                                      <w:sz w:val="14"/>
                                    </w:rPr>
                                  </w:pPr>
                                  <w:r>
                                    <w:rPr>
                                      <w:sz w:val="14"/>
                                    </w:rPr>
                                    <w:t>Código Seguro de </w:t>
                                  </w:r>
                                  <w:r>
                                    <w:rPr>
                                      <w:spacing w:val="-2"/>
                                      <w:sz w:val="14"/>
                                    </w:rPr>
                                    <w:t>Verificación</w:t>
                                  </w:r>
                                </w:p>
                              </w:tc>
                              <w:tc>
                                <w:tcPr>
                                  <w:tcW w:w="5367" w:type="dxa"/>
                                  <w:tcBorders>
                                    <w:left w:val="single" w:sz="4" w:space="0" w:color="000000"/>
                                    <w:bottom w:val="single" w:sz="4" w:space="0" w:color="000000"/>
                                    <w:right w:val="single" w:sz="4" w:space="0" w:color="000000"/>
                                  </w:tcBorders>
                                </w:tcPr>
                                <w:p>
                                  <w:pPr>
                                    <w:pStyle w:val="TableParagraph"/>
                                    <w:spacing w:before="53"/>
                                    <w:ind w:left="1629"/>
                                    <w:jc w:val="left"/>
                                    <w:rPr>
                                      <w:sz w:val="14"/>
                                    </w:rPr>
                                  </w:pPr>
                                  <w:r>
                                    <w:rPr>
                                      <w:spacing w:val="-2"/>
                                      <w:sz w:val="14"/>
                                    </w:rPr>
                                    <w:t>IVVH2O73JIMOJ6P3AXVBIF36IY</w:t>
                                  </w:r>
                                </w:p>
                              </w:tc>
                              <w:tc>
                                <w:tcPr>
                                  <w:tcW w:w="1073" w:type="dxa"/>
                                  <w:tcBorders>
                                    <w:left w:val="single" w:sz="4" w:space="0" w:color="000000"/>
                                    <w:bottom w:val="single" w:sz="4" w:space="0" w:color="000000"/>
                                    <w:right w:val="single" w:sz="4" w:space="0" w:color="000000"/>
                                  </w:tcBorders>
                                  <w:shd w:val="clear" w:color="auto" w:fill="BFBFBF"/>
                                </w:tcPr>
                                <w:p>
                                  <w:pPr>
                                    <w:pStyle w:val="TableParagraph"/>
                                    <w:spacing w:before="53"/>
                                    <w:ind w:left="11"/>
                                    <w:rPr>
                                      <w:sz w:val="14"/>
                                    </w:rPr>
                                  </w:pPr>
                                  <w:r>
                                    <w:rPr>
                                      <w:spacing w:val="-2"/>
                                      <w:sz w:val="14"/>
                                    </w:rPr>
                                    <w:t>Fecha</w:t>
                                  </w:r>
                                </w:p>
                              </w:tc>
                              <w:tc>
                                <w:tcPr>
                                  <w:tcW w:w="1630" w:type="dxa"/>
                                  <w:tcBorders>
                                    <w:left w:val="single" w:sz="4" w:space="0" w:color="000000"/>
                                    <w:bottom w:val="single" w:sz="4" w:space="0" w:color="000000"/>
                                  </w:tcBorders>
                                </w:tcPr>
                                <w:p>
                                  <w:pPr>
                                    <w:pStyle w:val="TableParagraph"/>
                                    <w:spacing w:before="53"/>
                                    <w:ind w:left="2"/>
                                    <w:rPr>
                                      <w:sz w:val="14"/>
                                    </w:rPr>
                                  </w:pPr>
                                  <w:r>
                                    <w:rPr>
                                      <w:sz w:val="14"/>
                                    </w:rPr>
                                    <w:t>19/03/2026 </w:t>
                                  </w:r>
                                  <w:r>
                                    <w:rPr>
                                      <w:spacing w:val="-2"/>
                                      <w:sz w:val="14"/>
                                    </w:rPr>
                                    <w:t>14:38:06</w:t>
                                  </w:r>
                                </w:p>
                              </w:tc>
                              <w:tc>
                                <w:tcPr>
                                  <w:tcW w:w="1150" w:type="dxa"/>
                                  <w:vMerge w:val="restart"/>
                                  <w:tcBorders>
                                    <w:top w:val="single" w:sz="4" w:space="0" w:color="000000"/>
                                    <w:bottom w:val="single" w:sz="4" w:space="0" w:color="000000"/>
                                    <w:right w:val="single" w:sz="4" w:space="0" w:color="000000"/>
                                  </w:tcBorders>
                                </w:tcPr>
                                <w:p>
                                  <w:pPr>
                                    <w:pStyle w:val="TableParagraph"/>
                                    <w:spacing w:line="240" w:lineRule="auto" w:before="0"/>
                                    <w:ind w:left="0"/>
                                    <w:jc w:val="left"/>
                                    <w:rPr>
                                      <w:rFonts w:ascii="Times New Roman"/>
                                      <w:sz w:val="18"/>
                                    </w:rPr>
                                  </w:pPr>
                                </w:p>
                              </w:tc>
                            </w:tr>
                            <w:tr>
                              <w:trPr>
                                <w:trHeight w:val="35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spacing w:line="240" w:lineRule="auto" w:before="113"/>
                                    <w:rPr>
                                      <w:sz w:val="14"/>
                                    </w:rPr>
                                  </w:pPr>
                                  <w:r>
                                    <w:rPr>
                                      <w:spacing w:val="-2"/>
                                      <w:sz w:val="14"/>
                                    </w:rPr>
                                    <w:t>Normativa</w:t>
                                  </w:r>
                                </w:p>
                              </w:tc>
                              <w:tc>
                                <w:tcPr>
                                  <w:tcW w:w="8070" w:type="dxa"/>
                                  <w:gridSpan w:val="3"/>
                                  <w:tcBorders>
                                    <w:top w:val="single" w:sz="4" w:space="0" w:color="000000"/>
                                    <w:left w:val="single" w:sz="4" w:space="0" w:color="000000"/>
                                    <w:bottom w:val="single" w:sz="4" w:space="0" w:color="000000"/>
                                  </w:tcBorders>
                                </w:tcPr>
                                <w:p>
                                  <w:pPr>
                                    <w:pStyle w:val="TableParagraph"/>
                                    <w:spacing w:line="140" w:lineRule="exact" w:before="50"/>
                                    <w:ind w:left="2737" w:right="45" w:hanging="2607"/>
                                    <w:jc w:val="left"/>
                                    <w:rPr>
                                      <w:sz w:val="14"/>
                                    </w:rPr>
                                  </w:pPr>
                                  <w:r>
                                    <w:rPr>
                                      <w:sz w:val="14"/>
                                    </w:rPr>
                                    <w:t>Firma</w:t>
                                  </w:r>
                                  <w:r>
                                    <w:rPr>
                                      <w:spacing w:val="-3"/>
                                      <w:sz w:val="14"/>
                                    </w:rPr>
                                    <w:t> </w:t>
                                  </w:r>
                                  <w:r>
                                    <w:rPr>
                                      <w:sz w:val="14"/>
                                    </w:rPr>
                                    <w:t>electrónica</w:t>
                                  </w:r>
                                  <w:r>
                                    <w:rPr>
                                      <w:spacing w:val="-3"/>
                                      <w:sz w:val="14"/>
                                    </w:rPr>
                                    <w:t> </w:t>
                                  </w:r>
                                  <w:r>
                                    <w:rPr>
                                      <w:sz w:val="14"/>
                                    </w:rPr>
                                    <w:t>de</w:t>
                                  </w:r>
                                  <w:r>
                                    <w:rPr>
                                      <w:spacing w:val="-3"/>
                                      <w:sz w:val="14"/>
                                    </w:rPr>
                                    <w:t> </w:t>
                                  </w:r>
                                  <w:r>
                                    <w:rPr>
                                      <w:sz w:val="14"/>
                                    </w:rPr>
                                    <w:t>confianza,</w:t>
                                  </w:r>
                                  <w:r>
                                    <w:rPr>
                                      <w:spacing w:val="-3"/>
                                      <w:sz w:val="14"/>
                                    </w:rPr>
                                    <w:t> </w:t>
                                  </w:r>
                                  <w:r>
                                    <w:rPr>
                                      <w:sz w:val="14"/>
                                    </w:rPr>
                                    <w:t>de</w:t>
                                  </w:r>
                                  <w:r>
                                    <w:rPr>
                                      <w:spacing w:val="-3"/>
                                      <w:sz w:val="14"/>
                                    </w:rPr>
                                    <w:t> </w:t>
                                  </w:r>
                                  <w:r>
                                    <w:rPr>
                                      <w:sz w:val="14"/>
                                    </w:rPr>
                                    <w:t>conformidad</w:t>
                                  </w:r>
                                  <w:r>
                                    <w:rPr>
                                      <w:spacing w:val="-3"/>
                                      <w:sz w:val="14"/>
                                    </w:rPr>
                                    <w:t> </w:t>
                                  </w:r>
                                  <w:r>
                                    <w:rPr>
                                      <w:sz w:val="14"/>
                                    </w:rPr>
                                    <w:t>con</w:t>
                                  </w:r>
                                  <w:r>
                                    <w:rPr>
                                      <w:spacing w:val="-3"/>
                                      <w:sz w:val="14"/>
                                    </w:rPr>
                                    <w:t> </w:t>
                                  </w:r>
                                  <w:r>
                                    <w:rPr>
                                      <w:sz w:val="14"/>
                                    </w:rPr>
                                    <w:t>la</w:t>
                                  </w:r>
                                  <w:r>
                                    <w:rPr>
                                      <w:spacing w:val="-3"/>
                                      <w:sz w:val="14"/>
                                    </w:rPr>
                                    <w:t> </w:t>
                                  </w:r>
                                  <w:r>
                                    <w:rPr>
                                      <w:sz w:val="14"/>
                                    </w:rPr>
                                    <w:t>ley</w:t>
                                  </w:r>
                                  <w:r>
                                    <w:rPr>
                                      <w:spacing w:val="-3"/>
                                      <w:sz w:val="14"/>
                                    </w:rPr>
                                    <w:t> </w:t>
                                  </w:r>
                                  <w:r>
                                    <w:rPr>
                                      <w:sz w:val="14"/>
                                    </w:rPr>
                                    <w:t>6/2020,</w:t>
                                  </w:r>
                                  <w:r>
                                    <w:rPr>
                                      <w:spacing w:val="-3"/>
                                      <w:sz w:val="14"/>
                                    </w:rPr>
                                    <w:t> </w:t>
                                  </w:r>
                                  <w:r>
                                    <w:rPr>
                                      <w:sz w:val="14"/>
                                    </w:rPr>
                                    <w:t>de</w:t>
                                  </w:r>
                                  <w:r>
                                    <w:rPr>
                                      <w:spacing w:val="-3"/>
                                      <w:sz w:val="14"/>
                                    </w:rPr>
                                    <w:t> </w:t>
                                  </w:r>
                                  <w:r>
                                    <w:rPr>
                                      <w:sz w:val="14"/>
                                    </w:rPr>
                                    <w:t>11</w:t>
                                  </w:r>
                                  <w:r>
                                    <w:rPr>
                                      <w:spacing w:val="-3"/>
                                      <w:sz w:val="14"/>
                                    </w:rPr>
                                    <w:t> </w:t>
                                  </w:r>
                                  <w:r>
                                    <w:rPr>
                                      <w:sz w:val="14"/>
                                    </w:rPr>
                                    <w:t>de</w:t>
                                  </w:r>
                                  <w:r>
                                    <w:rPr>
                                      <w:spacing w:val="-3"/>
                                      <w:sz w:val="14"/>
                                    </w:rPr>
                                    <w:t> </w:t>
                                  </w:r>
                                  <w:r>
                                    <w:rPr>
                                      <w:sz w:val="14"/>
                                    </w:rPr>
                                    <w:t>noviembre,</w:t>
                                  </w:r>
                                  <w:r>
                                    <w:rPr>
                                      <w:spacing w:val="-3"/>
                                      <w:sz w:val="14"/>
                                    </w:rPr>
                                    <w:t> </w:t>
                                  </w:r>
                                  <w:r>
                                    <w:rPr>
                                      <w:sz w:val="14"/>
                                    </w:rPr>
                                    <w:t>reguladora</w:t>
                                  </w:r>
                                  <w:r>
                                    <w:rPr>
                                      <w:spacing w:val="-3"/>
                                      <w:sz w:val="14"/>
                                    </w:rPr>
                                    <w:t> </w:t>
                                  </w:r>
                                  <w:r>
                                    <w:rPr>
                                      <w:sz w:val="14"/>
                                    </w:rPr>
                                    <w:t>de</w:t>
                                  </w:r>
                                  <w:r>
                                    <w:rPr>
                                      <w:spacing w:val="-3"/>
                                      <w:sz w:val="14"/>
                                    </w:rPr>
                                    <w:t> </w:t>
                                  </w:r>
                                  <w:r>
                                    <w:rPr>
                                      <w:sz w:val="14"/>
                                    </w:rPr>
                                    <w:t>determinados</w:t>
                                  </w:r>
                                  <w:r>
                                    <w:rPr>
                                      <w:spacing w:val="-3"/>
                                      <w:sz w:val="14"/>
                                    </w:rPr>
                                    <w:t> </w:t>
                                  </w:r>
                                  <w:r>
                                    <w:rPr>
                                      <w:sz w:val="14"/>
                                    </w:rPr>
                                    <w:t>aspectos</w:t>
                                  </w:r>
                                  <w:r>
                                    <w:rPr>
                                      <w:spacing w:val="40"/>
                                      <w:sz w:val="14"/>
                                    </w:rPr>
                                    <w:t> </w:t>
                                  </w:r>
                                  <w:r>
                                    <w:rPr>
                                      <w:sz w:val="14"/>
                                    </w:rPr>
                                    <w:t>de los servicios electrónicos de confianza</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FERNANDO BURÓN </w:t>
                                  </w:r>
                                  <w:r>
                                    <w:rPr>
                                      <w:spacing w:val="-2"/>
                                      <w:sz w:val="14"/>
                                    </w:rPr>
                                    <w:t>ÁLVAREZ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JOSÉ IGNACIO ZARANDONA </w:t>
                                  </w:r>
                                  <w:r>
                                    <w:rPr>
                                      <w:spacing w:val="-2"/>
                                      <w:sz w:val="14"/>
                                    </w:rPr>
                                    <w:t>FERNÁNDEZ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360" w:hRule="atLeast"/>
                              </w:trPr>
                              <w:tc>
                                <w:tcPr>
                                  <w:tcW w:w="2059" w:type="dxa"/>
                                  <w:tcBorders>
                                    <w:top w:val="single" w:sz="4" w:space="0" w:color="000000"/>
                                    <w:right w:val="single" w:sz="4" w:space="0" w:color="000000"/>
                                  </w:tcBorders>
                                  <w:shd w:val="clear" w:color="auto" w:fill="BFBFBF"/>
                                </w:tcPr>
                                <w:p>
                                  <w:pPr>
                                    <w:pStyle w:val="TableParagraph"/>
                                    <w:spacing w:line="240" w:lineRule="auto" w:before="113"/>
                                    <w:rPr>
                                      <w:sz w:val="14"/>
                                    </w:rPr>
                                  </w:pPr>
                                  <w:r>
                                    <w:rPr>
                                      <w:sz w:val="14"/>
                                    </w:rPr>
                                    <w:t>Url de </w:t>
                                  </w:r>
                                  <w:r>
                                    <w:rPr>
                                      <w:spacing w:val="-2"/>
                                      <w:sz w:val="14"/>
                                    </w:rPr>
                                    <w:t>verificación</w:t>
                                  </w:r>
                                </w:p>
                              </w:tc>
                              <w:tc>
                                <w:tcPr>
                                  <w:tcW w:w="5367" w:type="dxa"/>
                                  <w:tcBorders>
                                    <w:top w:val="single" w:sz="4" w:space="0" w:color="000000"/>
                                    <w:left w:val="single" w:sz="4" w:space="0" w:color="000000"/>
                                    <w:right w:val="single" w:sz="4" w:space="0" w:color="000000"/>
                                  </w:tcBorders>
                                </w:tcPr>
                                <w:p>
                                  <w:pPr>
                                    <w:pStyle w:val="TableParagraph"/>
                                    <w:spacing w:line="140" w:lineRule="exact" w:before="60"/>
                                    <w:ind w:left="1263" w:firstLine="148"/>
                                    <w:jc w:val="left"/>
                                    <w:rPr>
                                      <w:sz w:val="14"/>
                                    </w:rPr>
                                  </w:pPr>
                                  <w:r>
                                    <w:rPr>
                                      <w:spacing w:val="-2"/>
                                      <w:sz w:val="14"/>
                                    </w:rPr>
                                    <w:t>https://sede.valladolid.es/moad/verifirma-</w:t>
                                  </w:r>
                                  <w:r>
                                    <w:rPr>
                                      <w:spacing w:val="40"/>
                                      <w:sz w:val="14"/>
                                    </w:rPr>
                                    <w:t> </w:t>
                                  </w:r>
                                  <w:r>
                                    <w:rPr>
                                      <w:spacing w:val="-2"/>
                                      <w:sz w:val="14"/>
                                    </w:rPr>
                                    <w:t>moad/code/IVVH2O73JIMOJ6P3AXVBIF36IY</w:t>
                                  </w:r>
                                </w:p>
                              </w:tc>
                              <w:tc>
                                <w:tcPr>
                                  <w:tcW w:w="1073" w:type="dxa"/>
                                  <w:tcBorders>
                                    <w:top w:val="single" w:sz="4" w:space="0" w:color="000000"/>
                                    <w:left w:val="single" w:sz="4" w:space="0" w:color="000000"/>
                                    <w:right w:val="single" w:sz="4" w:space="0" w:color="000000"/>
                                  </w:tcBorders>
                                  <w:shd w:val="clear" w:color="auto" w:fill="BFBFBF"/>
                                </w:tcPr>
                                <w:p>
                                  <w:pPr>
                                    <w:pStyle w:val="TableParagraph"/>
                                    <w:spacing w:line="240" w:lineRule="auto" w:before="113"/>
                                    <w:ind w:left="11"/>
                                    <w:rPr>
                                      <w:sz w:val="14"/>
                                    </w:rPr>
                                  </w:pPr>
                                  <w:r>
                                    <w:rPr>
                                      <w:spacing w:val="-2"/>
                                      <w:sz w:val="14"/>
                                    </w:rPr>
                                    <w:t>Página</w:t>
                                  </w:r>
                                </w:p>
                              </w:tc>
                              <w:tc>
                                <w:tcPr>
                                  <w:tcW w:w="1630" w:type="dxa"/>
                                  <w:tcBorders>
                                    <w:top w:val="single" w:sz="4" w:space="0" w:color="000000"/>
                                    <w:left w:val="single" w:sz="4" w:space="0" w:color="000000"/>
                                  </w:tcBorders>
                                </w:tcPr>
                                <w:p>
                                  <w:pPr>
                                    <w:pStyle w:val="TableParagraph"/>
                                    <w:spacing w:line="240" w:lineRule="auto" w:before="113"/>
                                    <w:ind w:left="2" w:right="1"/>
                                    <w:rPr>
                                      <w:sz w:val="14"/>
                                    </w:rPr>
                                  </w:pPr>
                                  <w:r>
                                    <w:rPr>
                                      <w:spacing w:val="-5"/>
                                      <w:sz w:val="14"/>
                                    </w:rPr>
                                    <w:t>2/3</w:t>
                                  </w:r>
                                </w:p>
                              </w:tc>
                              <w:tc>
                                <w:tcPr>
                                  <w:tcW w:w="1150" w:type="dxa"/>
                                  <w:vMerge/>
                                  <w:tcBorders>
                                    <w:top w:val="nil"/>
                                    <w:bottom w:val="single" w:sz="4" w:space="0" w:color="000000"/>
                                    <w:right w:val="single" w:sz="4" w:space="0" w:color="000000"/>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12.75pt;margin-top:732.75pt;width:570.5pt;height:94.5pt;mso-position-horizontal-relative:page;mso-position-vertical-relative:page;z-index:15729152" type="#_x0000_t202" id="docshape6" filled="false" stroked="false">
                <v:textbox inset="0,0,0,0">
                  <w:txbxContent>
                    <w:tbl>
                      <w:tblPr>
                        <w:tblW w:w="0" w:type="auto"/>
                        <w:jc w:val="left"/>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059"/>
                        <w:gridCol w:w="5367"/>
                        <w:gridCol w:w="1073"/>
                        <w:gridCol w:w="1630"/>
                        <w:gridCol w:w="1150"/>
                      </w:tblGrid>
                      <w:tr>
                        <w:trPr>
                          <w:trHeight w:val="220" w:hRule="atLeast"/>
                        </w:trPr>
                        <w:tc>
                          <w:tcPr>
                            <w:tcW w:w="2059" w:type="dxa"/>
                            <w:tcBorders>
                              <w:bottom w:val="single" w:sz="4" w:space="0" w:color="000000"/>
                              <w:right w:val="single" w:sz="4" w:space="0" w:color="000000"/>
                            </w:tcBorders>
                            <w:shd w:val="clear" w:color="auto" w:fill="BFBFBF"/>
                          </w:tcPr>
                          <w:p>
                            <w:pPr>
                              <w:pStyle w:val="TableParagraph"/>
                              <w:spacing w:before="53"/>
                              <w:rPr>
                                <w:sz w:val="14"/>
                              </w:rPr>
                            </w:pPr>
                            <w:r>
                              <w:rPr>
                                <w:sz w:val="14"/>
                              </w:rPr>
                              <w:t>Código Seguro de </w:t>
                            </w:r>
                            <w:r>
                              <w:rPr>
                                <w:spacing w:val="-2"/>
                                <w:sz w:val="14"/>
                              </w:rPr>
                              <w:t>Verificación</w:t>
                            </w:r>
                          </w:p>
                        </w:tc>
                        <w:tc>
                          <w:tcPr>
                            <w:tcW w:w="5367" w:type="dxa"/>
                            <w:tcBorders>
                              <w:left w:val="single" w:sz="4" w:space="0" w:color="000000"/>
                              <w:bottom w:val="single" w:sz="4" w:space="0" w:color="000000"/>
                              <w:right w:val="single" w:sz="4" w:space="0" w:color="000000"/>
                            </w:tcBorders>
                          </w:tcPr>
                          <w:p>
                            <w:pPr>
                              <w:pStyle w:val="TableParagraph"/>
                              <w:spacing w:before="53"/>
                              <w:ind w:left="1629"/>
                              <w:jc w:val="left"/>
                              <w:rPr>
                                <w:sz w:val="14"/>
                              </w:rPr>
                            </w:pPr>
                            <w:r>
                              <w:rPr>
                                <w:spacing w:val="-2"/>
                                <w:sz w:val="14"/>
                              </w:rPr>
                              <w:t>IVVH2O73JIMOJ6P3AXVBIF36IY</w:t>
                            </w:r>
                          </w:p>
                        </w:tc>
                        <w:tc>
                          <w:tcPr>
                            <w:tcW w:w="1073" w:type="dxa"/>
                            <w:tcBorders>
                              <w:left w:val="single" w:sz="4" w:space="0" w:color="000000"/>
                              <w:bottom w:val="single" w:sz="4" w:space="0" w:color="000000"/>
                              <w:right w:val="single" w:sz="4" w:space="0" w:color="000000"/>
                            </w:tcBorders>
                            <w:shd w:val="clear" w:color="auto" w:fill="BFBFBF"/>
                          </w:tcPr>
                          <w:p>
                            <w:pPr>
                              <w:pStyle w:val="TableParagraph"/>
                              <w:spacing w:before="53"/>
                              <w:ind w:left="11"/>
                              <w:rPr>
                                <w:sz w:val="14"/>
                              </w:rPr>
                            </w:pPr>
                            <w:r>
                              <w:rPr>
                                <w:spacing w:val="-2"/>
                                <w:sz w:val="14"/>
                              </w:rPr>
                              <w:t>Fecha</w:t>
                            </w:r>
                          </w:p>
                        </w:tc>
                        <w:tc>
                          <w:tcPr>
                            <w:tcW w:w="1630" w:type="dxa"/>
                            <w:tcBorders>
                              <w:left w:val="single" w:sz="4" w:space="0" w:color="000000"/>
                              <w:bottom w:val="single" w:sz="4" w:space="0" w:color="000000"/>
                            </w:tcBorders>
                          </w:tcPr>
                          <w:p>
                            <w:pPr>
                              <w:pStyle w:val="TableParagraph"/>
                              <w:spacing w:before="53"/>
                              <w:ind w:left="2"/>
                              <w:rPr>
                                <w:sz w:val="14"/>
                              </w:rPr>
                            </w:pPr>
                            <w:r>
                              <w:rPr>
                                <w:sz w:val="14"/>
                              </w:rPr>
                              <w:t>19/03/2026 </w:t>
                            </w:r>
                            <w:r>
                              <w:rPr>
                                <w:spacing w:val="-2"/>
                                <w:sz w:val="14"/>
                              </w:rPr>
                              <w:t>14:38:06</w:t>
                            </w:r>
                          </w:p>
                        </w:tc>
                        <w:tc>
                          <w:tcPr>
                            <w:tcW w:w="1150" w:type="dxa"/>
                            <w:vMerge w:val="restart"/>
                            <w:tcBorders>
                              <w:top w:val="single" w:sz="4" w:space="0" w:color="000000"/>
                              <w:bottom w:val="single" w:sz="4" w:space="0" w:color="000000"/>
                              <w:right w:val="single" w:sz="4" w:space="0" w:color="000000"/>
                            </w:tcBorders>
                          </w:tcPr>
                          <w:p>
                            <w:pPr>
                              <w:pStyle w:val="TableParagraph"/>
                              <w:spacing w:line="240" w:lineRule="auto" w:before="0"/>
                              <w:ind w:left="0"/>
                              <w:jc w:val="left"/>
                              <w:rPr>
                                <w:rFonts w:ascii="Times New Roman"/>
                                <w:sz w:val="18"/>
                              </w:rPr>
                            </w:pPr>
                          </w:p>
                        </w:tc>
                      </w:tr>
                      <w:tr>
                        <w:trPr>
                          <w:trHeight w:val="35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spacing w:line="240" w:lineRule="auto" w:before="113"/>
                              <w:rPr>
                                <w:sz w:val="14"/>
                              </w:rPr>
                            </w:pPr>
                            <w:r>
                              <w:rPr>
                                <w:spacing w:val="-2"/>
                                <w:sz w:val="14"/>
                              </w:rPr>
                              <w:t>Normativa</w:t>
                            </w:r>
                          </w:p>
                        </w:tc>
                        <w:tc>
                          <w:tcPr>
                            <w:tcW w:w="8070" w:type="dxa"/>
                            <w:gridSpan w:val="3"/>
                            <w:tcBorders>
                              <w:top w:val="single" w:sz="4" w:space="0" w:color="000000"/>
                              <w:left w:val="single" w:sz="4" w:space="0" w:color="000000"/>
                              <w:bottom w:val="single" w:sz="4" w:space="0" w:color="000000"/>
                            </w:tcBorders>
                          </w:tcPr>
                          <w:p>
                            <w:pPr>
                              <w:pStyle w:val="TableParagraph"/>
                              <w:spacing w:line="140" w:lineRule="exact" w:before="50"/>
                              <w:ind w:left="2737" w:right="45" w:hanging="2607"/>
                              <w:jc w:val="left"/>
                              <w:rPr>
                                <w:sz w:val="14"/>
                              </w:rPr>
                            </w:pPr>
                            <w:r>
                              <w:rPr>
                                <w:sz w:val="14"/>
                              </w:rPr>
                              <w:t>Firma</w:t>
                            </w:r>
                            <w:r>
                              <w:rPr>
                                <w:spacing w:val="-3"/>
                                <w:sz w:val="14"/>
                              </w:rPr>
                              <w:t> </w:t>
                            </w:r>
                            <w:r>
                              <w:rPr>
                                <w:sz w:val="14"/>
                              </w:rPr>
                              <w:t>electrónica</w:t>
                            </w:r>
                            <w:r>
                              <w:rPr>
                                <w:spacing w:val="-3"/>
                                <w:sz w:val="14"/>
                              </w:rPr>
                              <w:t> </w:t>
                            </w:r>
                            <w:r>
                              <w:rPr>
                                <w:sz w:val="14"/>
                              </w:rPr>
                              <w:t>de</w:t>
                            </w:r>
                            <w:r>
                              <w:rPr>
                                <w:spacing w:val="-3"/>
                                <w:sz w:val="14"/>
                              </w:rPr>
                              <w:t> </w:t>
                            </w:r>
                            <w:r>
                              <w:rPr>
                                <w:sz w:val="14"/>
                              </w:rPr>
                              <w:t>confianza,</w:t>
                            </w:r>
                            <w:r>
                              <w:rPr>
                                <w:spacing w:val="-3"/>
                                <w:sz w:val="14"/>
                              </w:rPr>
                              <w:t> </w:t>
                            </w:r>
                            <w:r>
                              <w:rPr>
                                <w:sz w:val="14"/>
                              </w:rPr>
                              <w:t>de</w:t>
                            </w:r>
                            <w:r>
                              <w:rPr>
                                <w:spacing w:val="-3"/>
                                <w:sz w:val="14"/>
                              </w:rPr>
                              <w:t> </w:t>
                            </w:r>
                            <w:r>
                              <w:rPr>
                                <w:sz w:val="14"/>
                              </w:rPr>
                              <w:t>conformidad</w:t>
                            </w:r>
                            <w:r>
                              <w:rPr>
                                <w:spacing w:val="-3"/>
                                <w:sz w:val="14"/>
                              </w:rPr>
                              <w:t> </w:t>
                            </w:r>
                            <w:r>
                              <w:rPr>
                                <w:sz w:val="14"/>
                              </w:rPr>
                              <w:t>con</w:t>
                            </w:r>
                            <w:r>
                              <w:rPr>
                                <w:spacing w:val="-3"/>
                                <w:sz w:val="14"/>
                              </w:rPr>
                              <w:t> </w:t>
                            </w:r>
                            <w:r>
                              <w:rPr>
                                <w:sz w:val="14"/>
                              </w:rPr>
                              <w:t>la</w:t>
                            </w:r>
                            <w:r>
                              <w:rPr>
                                <w:spacing w:val="-3"/>
                                <w:sz w:val="14"/>
                              </w:rPr>
                              <w:t> </w:t>
                            </w:r>
                            <w:r>
                              <w:rPr>
                                <w:sz w:val="14"/>
                              </w:rPr>
                              <w:t>ley</w:t>
                            </w:r>
                            <w:r>
                              <w:rPr>
                                <w:spacing w:val="-3"/>
                                <w:sz w:val="14"/>
                              </w:rPr>
                              <w:t> </w:t>
                            </w:r>
                            <w:r>
                              <w:rPr>
                                <w:sz w:val="14"/>
                              </w:rPr>
                              <w:t>6/2020,</w:t>
                            </w:r>
                            <w:r>
                              <w:rPr>
                                <w:spacing w:val="-3"/>
                                <w:sz w:val="14"/>
                              </w:rPr>
                              <w:t> </w:t>
                            </w:r>
                            <w:r>
                              <w:rPr>
                                <w:sz w:val="14"/>
                              </w:rPr>
                              <w:t>de</w:t>
                            </w:r>
                            <w:r>
                              <w:rPr>
                                <w:spacing w:val="-3"/>
                                <w:sz w:val="14"/>
                              </w:rPr>
                              <w:t> </w:t>
                            </w:r>
                            <w:r>
                              <w:rPr>
                                <w:sz w:val="14"/>
                              </w:rPr>
                              <w:t>11</w:t>
                            </w:r>
                            <w:r>
                              <w:rPr>
                                <w:spacing w:val="-3"/>
                                <w:sz w:val="14"/>
                              </w:rPr>
                              <w:t> </w:t>
                            </w:r>
                            <w:r>
                              <w:rPr>
                                <w:sz w:val="14"/>
                              </w:rPr>
                              <w:t>de</w:t>
                            </w:r>
                            <w:r>
                              <w:rPr>
                                <w:spacing w:val="-3"/>
                                <w:sz w:val="14"/>
                              </w:rPr>
                              <w:t> </w:t>
                            </w:r>
                            <w:r>
                              <w:rPr>
                                <w:sz w:val="14"/>
                              </w:rPr>
                              <w:t>noviembre,</w:t>
                            </w:r>
                            <w:r>
                              <w:rPr>
                                <w:spacing w:val="-3"/>
                                <w:sz w:val="14"/>
                              </w:rPr>
                              <w:t> </w:t>
                            </w:r>
                            <w:r>
                              <w:rPr>
                                <w:sz w:val="14"/>
                              </w:rPr>
                              <w:t>reguladora</w:t>
                            </w:r>
                            <w:r>
                              <w:rPr>
                                <w:spacing w:val="-3"/>
                                <w:sz w:val="14"/>
                              </w:rPr>
                              <w:t> </w:t>
                            </w:r>
                            <w:r>
                              <w:rPr>
                                <w:sz w:val="14"/>
                              </w:rPr>
                              <w:t>de</w:t>
                            </w:r>
                            <w:r>
                              <w:rPr>
                                <w:spacing w:val="-3"/>
                                <w:sz w:val="14"/>
                              </w:rPr>
                              <w:t> </w:t>
                            </w:r>
                            <w:r>
                              <w:rPr>
                                <w:sz w:val="14"/>
                              </w:rPr>
                              <w:t>determinados</w:t>
                            </w:r>
                            <w:r>
                              <w:rPr>
                                <w:spacing w:val="-3"/>
                                <w:sz w:val="14"/>
                              </w:rPr>
                              <w:t> </w:t>
                            </w:r>
                            <w:r>
                              <w:rPr>
                                <w:sz w:val="14"/>
                              </w:rPr>
                              <w:t>aspectos</w:t>
                            </w:r>
                            <w:r>
                              <w:rPr>
                                <w:spacing w:val="40"/>
                                <w:sz w:val="14"/>
                              </w:rPr>
                              <w:t> </w:t>
                            </w:r>
                            <w:r>
                              <w:rPr>
                                <w:sz w:val="14"/>
                              </w:rPr>
                              <w:t>de los servicios electrónicos de confianza</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FERNANDO BURÓN </w:t>
                            </w:r>
                            <w:r>
                              <w:rPr>
                                <w:spacing w:val="-2"/>
                                <w:sz w:val="14"/>
                              </w:rPr>
                              <w:t>ÁLVAREZ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JOSÉ IGNACIO ZARANDONA </w:t>
                            </w:r>
                            <w:r>
                              <w:rPr>
                                <w:spacing w:val="-2"/>
                                <w:sz w:val="14"/>
                              </w:rPr>
                              <w:t>FERNÁNDEZ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360" w:hRule="atLeast"/>
                        </w:trPr>
                        <w:tc>
                          <w:tcPr>
                            <w:tcW w:w="2059" w:type="dxa"/>
                            <w:tcBorders>
                              <w:top w:val="single" w:sz="4" w:space="0" w:color="000000"/>
                              <w:right w:val="single" w:sz="4" w:space="0" w:color="000000"/>
                            </w:tcBorders>
                            <w:shd w:val="clear" w:color="auto" w:fill="BFBFBF"/>
                          </w:tcPr>
                          <w:p>
                            <w:pPr>
                              <w:pStyle w:val="TableParagraph"/>
                              <w:spacing w:line="240" w:lineRule="auto" w:before="113"/>
                              <w:rPr>
                                <w:sz w:val="14"/>
                              </w:rPr>
                            </w:pPr>
                            <w:r>
                              <w:rPr>
                                <w:sz w:val="14"/>
                              </w:rPr>
                              <w:t>Url de </w:t>
                            </w:r>
                            <w:r>
                              <w:rPr>
                                <w:spacing w:val="-2"/>
                                <w:sz w:val="14"/>
                              </w:rPr>
                              <w:t>verificación</w:t>
                            </w:r>
                          </w:p>
                        </w:tc>
                        <w:tc>
                          <w:tcPr>
                            <w:tcW w:w="5367" w:type="dxa"/>
                            <w:tcBorders>
                              <w:top w:val="single" w:sz="4" w:space="0" w:color="000000"/>
                              <w:left w:val="single" w:sz="4" w:space="0" w:color="000000"/>
                              <w:right w:val="single" w:sz="4" w:space="0" w:color="000000"/>
                            </w:tcBorders>
                          </w:tcPr>
                          <w:p>
                            <w:pPr>
                              <w:pStyle w:val="TableParagraph"/>
                              <w:spacing w:line="140" w:lineRule="exact" w:before="60"/>
                              <w:ind w:left="1263" w:firstLine="148"/>
                              <w:jc w:val="left"/>
                              <w:rPr>
                                <w:sz w:val="14"/>
                              </w:rPr>
                            </w:pPr>
                            <w:r>
                              <w:rPr>
                                <w:spacing w:val="-2"/>
                                <w:sz w:val="14"/>
                              </w:rPr>
                              <w:t>https://sede.valladolid.es/moad/verifirma-</w:t>
                            </w:r>
                            <w:r>
                              <w:rPr>
                                <w:spacing w:val="40"/>
                                <w:sz w:val="14"/>
                              </w:rPr>
                              <w:t> </w:t>
                            </w:r>
                            <w:r>
                              <w:rPr>
                                <w:spacing w:val="-2"/>
                                <w:sz w:val="14"/>
                              </w:rPr>
                              <w:t>moad/code/IVVH2O73JIMOJ6P3AXVBIF36IY</w:t>
                            </w:r>
                          </w:p>
                        </w:tc>
                        <w:tc>
                          <w:tcPr>
                            <w:tcW w:w="1073" w:type="dxa"/>
                            <w:tcBorders>
                              <w:top w:val="single" w:sz="4" w:space="0" w:color="000000"/>
                              <w:left w:val="single" w:sz="4" w:space="0" w:color="000000"/>
                              <w:right w:val="single" w:sz="4" w:space="0" w:color="000000"/>
                            </w:tcBorders>
                            <w:shd w:val="clear" w:color="auto" w:fill="BFBFBF"/>
                          </w:tcPr>
                          <w:p>
                            <w:pPr>
                              <w:pStyle w:val="TableParagraph"/>
                              <w:spacing w:line="240" w:lineRule="auto" w:before="113"/>
                              <w:ind w:left="11"/>
                              <w:rPr>
                                <w:sz w:val="14"/>
                              </w:rPr>
                            </w:pPr>
                            <w:r>
                              <w:rPr>
                                <w:spacing w:val="-2"/>
                                <w:sz w:val="14"/>
                              </w:rPr>
                              <w:t>Página</w:t>
                            </w:r>
                          </w:p>
                        </w:tc>
                        <w:tc>
                          <w:tcPr>
                            <w:tcW w:w="1630" w:type="dxa"/>
                            <w:tcBorders>
                              <w:top w:val="single" w:sz="4" w:space="0" w:color="000000"/>
                              <w:left w:val="single" w:sz="4" w:space="0" w:color="000000"/>
                            </w:tcBorders>
                          </w:tcPr>
                          <w:p>
                            <w:pPr>
                              <w:pStyle w:val="TableParagraph"/>
                              <w:spacing w:line="240" w:lineRule="auto" w:before="113"/>
                              <w:ind w:left="2" w:right="1"/>
                              <w:rPr>
                                <w:sz w:val="14"/>
                              </w:rPr>
                            </w:pPr>
                            <w:r>
                              <w:rPr>
                                <w:spacing w:val="-5"/>
                                <w:sz w:val="14"/>
                              </w:rPr>
                              <w:t>2/3</w:t>
                            </w:r>
                          </w:p>
                        </w:tc>
                        <w:tc>
                          <w:tcPr>
                            <w:tcW w:w="1150" w:type="dxa"/>
                            <w:vMerge/>
                            <w:tcBorders>
                              <w:top w:val="nil"/>
                              <w:bottom w:val="single" w:sz="4" w:space="0" w:color="000000"/>
                              <w:right w:val="single" w:sz="4" w:space="0" w:color="000000"/>
                            </w:tcBorders>
                          </w:tcPr>
                          <w:p>
                            <w:pPr>
                              <w:rPr>
                                <w:sz w:val="2"/>
                                <w:szCs w:val="2"/>
                              </w:rPr>
                            </w:pPr>
                          </w:p>
                        </w:tc>
                      </w:tr>
                    </w:tbl>
                    <w:p>
                      <w:pPr>
                        <w:pStyle w:val="BodyText"/>
                      </w:pPr>
                    </w:p>
                  </w:txbxContent>
                </v:textbox>
                <w10:wrap type="none"/>
              </v:shape>
            </w:pict>
          </mc:Fallback>
        </mc:AlternateContent>
      </w:r>
      <w:r>
        <w:rPr/>
        <w:drawing>
          <wp:anchor distT="0" distB="0" distL="0" distR="0" allowOverlap="1" layoutInCell="1" locked="0" behindDoc="1" simplePos="0" relativeHeight="487426048">
            <wp:simplePos x="0" y="0"/>
            <wp:positionH relativeFrom="page">
              <wp:posOffset>6720064</wp:posOffset>
            </wp:positionH>
            <wp:positionV relativeFrom="page">
              <wp:posOffset>9612489</wp:posOffset>
            </wp:positionV>
            <wp:extent cx="574322" cy="574322"/>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6" cstate="print"/>
                    <a:stretch>
                      <a:fillRect/>
                    </a:stretch>
                  </pic:blipFill>
                  <pic:spPr>
                    <a:xfrm>
                      <a:off x="0" y="0"/>
                      <a:ext cx="574322" cy="574322"/>
                    </a:xfrm>
                    <a:prstGeom prst="rect">
                      <a:avLst/>
                    </a:prstGeom>
                  </pic:spPr>
                </pic:pic>
              </a:graphicData>
            </a:graphic>
          </wp:anchor>
        </w:drawing>
      </w:r>
      <w:r>
        <w:rPr/>
        <w:t>un nuevo instrumento jurídico actualizado y adaptado a la</w:t>
      </w:r>
      <w:r>
        <w:rPr>
          <w:spacing w:val="-1"/>
        </w:rPr>
        <w:t> </w:t>
      </w:r>
      <w:r>
        <w:rPr/>
        <w:t>normativa vigente, que regule el uso de este importante equipamiento de la ciudad de Valladolid.</w:t>
      </w:r>
    </w:p>
    <w:p>
      <w:pPr>
        <w:pStyle w:val="BodyText"/>
        <w:spacing w:before="1"/>
      </w:pPr>
    </w:p>
    <w:p>
      <w:pPr>
        <w:pStyle w:val="ListParagraph"/>
        <w:numPr>
          <w:ilvl w:val="0"/>
          <w:numId w:val="1"/>
        </w:numPr>
        <w:tabs>
          <w:tab w:pos="1748" w:val="left" w:leader="none"/>
          <w:tab w:pos="1751" w:val="left" w:leader="none"/>
        </w:tabs>
        <w:spacing w:line="280" w:lineRule="auto" w:before="0" w:after="0"/>
        <w:ind w:left="1751" w:right="1786" w:hanging="252"/>
        <w:jc w:val="both"/>
        <w:rPr>
          <w:sz w:val="21"/>
        </w:rPr>
      </w:pPr>
      <w:r>
        <w:rPr>
          <w:sz w:val="21"/>
        </w:rPr>
        <w:t>Mediante este instrumento se pone de manifiesto la intención de las partes de fijar un esquema de colaboración entre ambas entidades con el fin de alcanzar dos objetivos </w:t>
      </w:r>
      <w:r>
        <w:rPr>
          <w:spacing w:val="-2"/>
          <w:sz w:val="21"/>
        </w:rPr>
        <w:t>fundamentales:</w:t>
      </w:r>
    </w:p>
    <w:p>
      <w:pPr>
        <w:pStyle w:val="ListParagraph"/>
        <w:numPr>
          <w:ilvl w:val="1"/>
          <w:numId w:val="1"/>
        </w:numPr>
        <w:tabs>
          <w:tab w:pos="2502" w:val="left" w:leader="none"/>
          <w:tab w:pos="2504" w:val="left" w:leader="none"/>
        </w:tabs>
        <w:spacing w:line="278" w:lineRule="auto" w:before="0" w:after="0"/>
        <w:ind w:left="2504" w:right="1792" w:hanging="252"/>
        <w:jc w:val="both"/>
        <w:rPr>
          <w:sz w:val="21"/>
        </w:rPr>
      </w:pPr>
      <w:r>
        <w:rPr>
          <w:sz w:val="21"/>
        </w:rPr>
        <w:t>Ejecutar obras en el estadio que permitan mejorar las instalaciones para que el Club y</w:t>
      </w:r>
      <w:r>
        <w:rPr>
          <w:spacing w:val="-1"/>
          <w:sz w:val="21"/>
        </w:rPr>
        <w:t> </w:t>
      </w:r>
      <w:r>
        <w:rPr>
          <w:sz w:val="21"/>
        </w:rPr>
        <w:t>la ciudad</w:t>
      </w:r>
      <w:r>
        <w:rPr>
          <w:spacing w:val="-1"/>
          <w:sz w:val="21"/>
        </w:rPr>
        <w:t> </w:t>
      </w:r>
      <w:r>
        <w:rPr>
          <w:sz w:val="21"/>
        </w:rPr>
        <w:t>cuenten</w:t>
      </w:r>
      <w:r>
        <w:rPr>
          <w:spacing w:val="-2"/>
          <w:sz w:val="21"/>
        </w:rPr>
        <w:t> </w:t>
      </w:r>
      <w:r>
        <w:rPr>
          <w:sz w:val="21"/>
        </w:rPr>
        <w:t>con una infraestructura</w:t>
      </w:r>
      <w:r>
        <w:rPr>
          <w:spacing w:val="-4"/>
          <w:sz w:val="21"/>
        </w:rPr>
        <w:t> </w:t>
      </w:r>
      <w:r>
        <w:rPr>
          <w:sz w:val="21"/>
        </w:rPr>
        <w:t>moderna y</w:t>
      </w:r>
      <w:r>
        <w:rPr>
          <w:spacing w:val="-1"/>
          <w:sz w:val="21"/>
        </w:rPr>
        <w:t> </w:t>
      </w:r>
      <w:r>
        <w:rPr>
          <w:sz w:val="21"/>
        </w:rPr>
        <w:t>funcional, adaptada a los parámetros y estándares que establecen FIFA y UEFA para acoger competiciones internacionales, así como otros eventos de interés para la ciudad.</w:t>
      </w:r>
    </w:p>
    <w:p>
      <w:pPr>
        <w:pStyle w:val="ListParagraph"/>
        <w:numPr>
          <w:ilvl w:val="1"/>
          <w:numId w:val="1"/>
        </w:numPr>
        <w:tabs>
          <w:tab w:pos="2502" w:val="left" w:leader="none"/>
          <w:tab w:pos="2504" w:val="left" w:leader="none"/>
        </w:tabs>
        <w:spacing w:line="278" w:lineRule="auto" w:before="3" w:after="0"/>
        <w:ind w:left="2504" w:right="1792" w:hanging="252"/>
        <w:jc w:val="both"/>
        <w:rPr>
          <w:sz w:val="21"/>
        </w:rPr>
      </w:pPr>
      <w:r>
        <w:rPr>
          <w:sz w:val="21"/>
        </w:rPr>
        <w:t>Actualizar, de conformidad con la legislación vigente, la regulación del uso del estadio de fútbol para los próximos años, toda vez que el Convenio vigente está desactualizado y resulta insuficiente para regular la situación actual.</w:t>
      </w:r>
    </w:p>
    <w:p>
      <w:pPr>
        <w:pStyle w:val="BodyText"/>
        <w:spacing w:before="45"/>
      </w:pPr>
    </w:p>
    <w:p>
      <w:pPr>
        <w:pStyle w:val="ListParagraph"/>
        <w:numPr>
          <w:ilvl w:val="0"/>
          <w:numId w:val="1"/>
        </w:numPr>
        <w:tabs>
          <w:tab w:pos="1749" w:val="left" w:leader="none"/>
          <w:tab w:pos="1751" w:val="left" w:leader="none"/>
        </w:tabs>
        <w:spacing w:line="280" w:lineRule="auto" w:before="0" w:after="0"/>
        <w:ind w:left="1751" w:right="1745" w:hanging="377"/>
        <w:jc w:val="both"/>
        <w:rPr>
          <w:sz w:val="21"/>
        </w:rPr>
      </w:pPr>
      <w:r>
        <w:rPr>
          <w:sz w:val="21"/>
        </w:rPr>
        <w:t>El Protocolo establece la intención de las partes de impulsar, dentro de su ámbito competencial, la realización de actuaciones recogidas en el texto del protocolo, que se deben concretar en el instrumento jurídico adecuado.</w:t>
      </w:r>
    </w:p>
    <w:p>
      <w:pPr>
        <w:pStyle w:val="BodyText"/>
      </w:pPr>
    </w:p>
    <w:p>
      <w:pPr>
        <w:pStyle w:val="BodyText"/>
        <w:spacing w:before="207"/>
      </w:pPr>
    </w:p>
    <w:p>
      <w:pPr>
        <w:pStyle w:val="Heading1"/>
        <w:ind w:left="1751"/>
        <w:jc w:val="left"/>
        <w:rPr>
          <w:b w:val="0"/>
          <w:sz w:val="19"/>
        </w:rPr>
      </w:pPr>
      <w:r>
        <w:rPr/>
        <w:t>FUNDAMENTOS</w:t>
      </w:r>
      <w:r>
        <w:rPr>
          <w:spacing w:val="7"/>
        </w:rPr>
        <w:t> </w:t>
      </w:r>
      <w:r>
        <w:rPr/>
        <w:t>DE</w:t>
      </w:r>
      <w:r>
        <w:rPr>
          <w:spacing w:val="7"/>
        </w:rPr>
        <w:t> </w:t>
      </w:r>
      <w:r>
        <w:rPr>
          <w:spacing w:val="-2"/>
        </w:rPr>
        <w:t>DERECHO</w:t>
      </w:r>
      <w:r>
        <w:rPr>
          <w:b w:val="0"/>
          <w:spacing w:val="-2"/>
          <w:sz w:val="19"/>
        </w:rPr>
        <w:t>:</w:t>
      </w:r>
    </w:p>
    <w:p>
      <w:pPr>
        <w:pStyle w:val="BodyText"/>
        <w:spacing w:before="21"/>
      </w:pPr>
    </w:p>
    <w:p>
      <w:pPr>
        <w:pStyle w:val="ListParagraph"/>
        <w:numPr>
          <w:ilvl w:val="0"/>
          <w:numId w:val="2"/>
        </w:numPr>
        <w:tabs>
          <w:tab w:pos="1748" w:val="left" w:leader="none"/>
          <w:tab w:pos="1751" w:val="left" w:leader="none"/>
        </w:tabs>
        <w:spacing w:line="278" w:lineRule="auto" w:before="0" w:after="0"/>
        <w:ind w:left="1751" w:right="1747" w:hanging="252"/>
        <w:jc w:val="both"/>
        <w:rPr>
          <w:sz w:val="21"/>
        </w:rPr>
      </w:pPr>
      <w:r>
        <w:rPr>
          <w:sz w:val="21"/>
        </w:rPr>
        <w:t>El instrumento de colaboración que se propone es un Protocolo de carácter programático que constituye una declaración de intenciones, sin compromisos jurídicos concretos y vinculantes, por lo que de acuerdo con el artículo 47.1 de la Ley 40/2015 (LRJSP), no tiene</w:t>
      </w:r>
      <w:r>
        <w:rPr>
          <w:spacing w:val="40"/>
          <w:sz w:val="21"/>
        </w:rPr>
        <w:t> </w:t>
      </w:r>
      <w:r>
        <w:rPr>
          <w:sz w:val="21"/>
        </w:rPr>
        <w:t>la consideración de convenio.</w:t>
      </w:r>
    </w:p>
    <w:p>
      <w:pPr>
        <w:pStyle w:val="BodyText"/>
        <w:spacing w:before="22"/>
      </w:pPr>
    </w:p>
    <w:p>
      <w:pPr>
        <w:pStyle w:val="ListParagraph"/>
        <w:numPr>
          <w:ilvl w:val="0"/>
          <w:numId w:val="2"/>
        </w:numPr>
        <w:tabs>
          <w:tab w:pos="1748" w:val="left" w:leader="none"/>
          <w:tab w:pos="1751" w:val="left" w:leader="none"/>
        </w:tabs>
        <w:spacing w:line="280" w:lineRule="auto" w:before="0" w:after="0"/>
        <w:ind w:left="1751" w:right="1753" w:hanging="252"/>
        <w:jc w:val="both"/>
        <w:rPr>
          <w:sz w:val="21"/>
        </w:rPr>
      </w:pPr>
      <w:r>
        <w:rPr>
          <w:sz w:val="21"/>
        </w:rPr>
        <w:t>Consta en el expediente memoria de la Dirección de Área que contiene la motivación de la oportunidad de suscribir este Protocolo.</w:t>
      </w:r>
    </w:p>
    <w:p>
      <w:pPr>
        <w:pStyle w:val="BodyText"/>
        <w:spacing w:before="2"/>
      </w:pPr>
    </w:p>
    <w:p>
      <w:pPr>
        <w:pStyle w:val="ListParagraph"/>
        <w:numPr>
          <w:ilvl w:val="0"/>
          <w:numId w:val="2"/>
        </w:numPr>
        <w:tabs>
          <w:tab w:pos="1748" w:val="left" w:leader="none"/>
          <w:tab w:pos="1751" w:val="left" w:leader="none"/>
        </w:tabs>
        <w:spacing w:line="278" w:lineRule="auto" w:before="0" w:after="0"/>
        <w:ind w:left="1751" w:right="1752" w:hanging="252"/>
        <w:jc w:val="both"/>
        <w:rPr>
          <w:sz w:val="21"/>
        </w:rPr>
      </w:pPr>
      <w:r>
        <w:rPr>
          <w:sz w:val="21"/>
        </w:rPr>
        <w:t>Para la consecución de los objetivos establecidos en este Protocolo, se deberán tramitar,</w:t>
      </w:r>
      <w:r>
        <w:rPr>
          <w:spacing w:val="80"/>
          <w:sz w:val="21"/>
        </w:rPr>
        <w:t> </w:t>
      </w:r>
      <w:r>
        <w:rPr>
          <w:sz w:val="21"/>
        </w:rPr>
        <w:t>en su caso, los instrumentos jurídicos adecuados, que concreten las actuaciones a realizar por cada una de ellas y obligaciones que éstas asumen, especialmente las de carácter </w:t>
      </w:r>
      <w:r>
        <w:rPr>
          <w:spacing w:val="-2"/>
          <w:sz w:val="21"/>
        </w:rPr>
        <w:t>económico.</w:t>
      </w:r>
    </w:p>
    <w:p>
      <w:pPr>
        <w:pStyle w:val="ListParagraph"/>
        <w:spacing w:after="0" w:line="278" w:lineRule="auto"/>
        <w:jc w:val="both"/>
        <w:rPr>
          <w:sz w:val="21"/>
        </w:rPr>
        <w:sectPr>
          <w:headerReference w:type="default" r:id="rId7"/>
          <w:footerReference w:type="default" r:id="rId8"/>
          <w:pgSz w:w="11900" w:h="16840"/>
          <w:pgMar w:header="772" w:footer="599" w:top="2080" w:bottom="780" w:left="283" w:right="283"/>
          <w:pgNumType w:start="2"/>
        </w:sectPr>
      </w:pPr>
    </w:p>
    <w:p>
      <w:pPr>
        <w:pStyle w:val="BodyText"/>
      </w:pPr>
      <w:r>
        <w:rPr/>
        <mc:AlternateContent>
          <mc:Choice Requires="wps">
            <w:drawing>
              <wp:anchor distT="0" distB="0" distL="0" distR="0" allowOverlap="1" layoutInCell="1" locked="0" behindDoc="0" simplePos="0" relativeHeight="15730176">
                <wp:simplePos x="0" y="0"/>
                <wp:positionH relativeFrom="page">
                  <wp:posOffset>161925</wp:posOffset>
                </wp:positionH>
                <wp:positionV relativeFrom="page">
                  <wp:posOffset>9305925</wp:posOffset>
                </wp:positionV>
                <wp:extent cx="7245350" cy="120015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7245350" cy="1200150"/>
                        </a:xfrm>
                        <a:prstGeom prst="rect">
                          <a:avLst/>
                        </a:prstGeom>
                      </wps:spPr>
                      <wps:txbx>
                        <w:txbxContent>
                          <w:tbl>
                            <w:tblPr>
                              <w:tblW w:w="0" w:type="auto"/>
                              <w:jc w:val="left"/>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059"/>
                              <w:gridCol w:w="5367"/>
                              <w:gridCol w:w="1073"/>
                              <w:gridCol w:w="1630"/>
                              <w:gridCol w:w="1150"/>
                            </w:tblGrid>
                            <w:tr>
                              <w:trPr>
                                <w:trHeight w:val="220" w:hRule="atLeast"/>
                              </w:trPr>
                              <w:tc>
                                <w:tcPr>
                                  <w:tcW w:w="2059" w:type="dxa"/>
                                  <w:tcBorders>
                                    <w:bottom w:val="single" w:sz="4" w:space="0" w:color="000000"/>
                                    <w:right w:val="single" w:sz="4" w:space="0" w:color="000000"/>
                                  </w:tcBorders>
                                  <w:shd w:val="clear" w:color="auto" w:fill="BFBFBF"/>
                                </w:tcPr>
                                <w:p>
                                  <w:pPr>
                                    <w:pStyle w:val="TableParagraph"/>
                                    <w:spacing w:before="53"/>
                                    <w:rPr>
                                      <w:sz w:val="14"/>
                                    </w:rPr>
                                  </w:pPr>
                                  <w:r>
                                    <w:rPr>
                                      <w:sz w:val="14"/>
                                    </w:rPr>
                                    <w:t>Código Seguro de </w:t>
                                  </w:r>
                                  <w:r>
                                    <w:rPr>
                                      <w:spacing w:val="-2"/>
                                      <w:sz w:val="14"/>
                                    </w:rPr>
                                    <w:t>Verificación</w:t>
                                  </w:r>
                                </w:p>
                              </w:tc>
                              <w:tc>
                                <w:tcPr>
                                  <w:tcW w:w="5367" w:type="dxa"/>
                                  <w:tcBorders>
                                    <w:left w:val="single" w:sz="4" w:space="0" w:color="000000"/>
                                    <w:bottom w:val="single" w:sz="4" w:space="0" w:color="000000"/>
                                    <w:right w:val="single" w:sz="4" w:space="0" w:color="000000"/>
                                  </w:tcBorders>
                                </w:tcPr>
                                <w:p>
                                  <w:pPr>
                                    <w:pStyle w:val="TableParagraph"/>
                                    <w:spacing w:before="53"/>
                                    <w:ind w:left="1629"/>
                                    <w:jc w:val="left"/>
                                    <w:rPr>
                                      <w:sz w:val="14"/>
                                    </w:rPr>
                                  </w:pPr>
                                  <w:r>
                                    <w:rPr>
                                      <w:spacing w:val="-2"/>
                                      <w:sz w:val="14"/>
                                    </w:rPr>
                                    <w:t>IVVH2O73JIMOJ6P3AXVBIF36IY</w:t>
                                  </w:r>
                                </w:p>
                              </w:tc>
                              <w:tc>
                                <w:tcPr>
                                  <w:tcW w:w="1073" w:type="dxa"/>
                                  <w:tcBorders>
                                    <w:left w:val="single" w:sz="4" w:space="0" w:color="000000"/>
                                    <w:bottom w:val="single" w:sz="4" w:space="0" w:color="000000"/>
                                    <w:right w:val="single" w:sz="4" w:space="0" w:color="000000"/>
                                  </w:tcBorders>
                                  <w:shd w:val="clear" w:color="auto" w:fill="BFBFBF"/>
                                </w:tcPr>
                                <w:p>
                                  <w:pPr>
                                    <w:pStyle w:val="TableParagraph"/>
                                    <w:spacing w:before="53"/>
                                    <w:ind w:left="11"/>
                                    <w:rPr>
                                      <w:sz w:val="14"/>
                                    </w:rPr>
                                  </w:pPr>
                                  <w:r>
                                    <w:rPr>
                                      <w:spacing w:val="-2"/>
                                      <w:sz w:val="14"/>
                                    </w:rPr>
                                    <w:t>Fecha</w:t>
                                  </w:r>
                                </w:p>
                              </w:tc>
                              <w:tc>
                                <w:tcPr>
                                  <w:tcW w:w="1630" w:type="dxa"/>
                                  <w:tcBorders>
                                    <w:left w:val="single" w:sz="4" w:space="0" w:color="000000"/>
                                    <w:bottom w:val="single" w:sz="4" w:space="0" w:color="000000"/>
                                  </w:tcBorders>
                                </w:tcPr>
                                <w:p>
                                  <w:pPr>
                                    <w:pStyle w:val="TableParagraph"/>
                                    <w:spacing w:before="53"/>
                                    <w:ind w:left="2"/>
                                    <w:rPr>
                                      <w:sz w:val="14"/>
                                    </w:rPr>
                                  </w:pPr>
                                  <w:r>
                                    <w:rPr>
                                      <w:sz w:val="14"/>
                                    </w:rPr>
                                    <w:t>19/03/2026 </w:t>
                                  </w:r>
                                  <w:r>
                                    <w:rPr>
                                      <w:spacing w:val="-2"/>
                                      <w:sz w:val="14"/>
                                    </w:rPr>
                                    <w:t>14:38:06</w:t>
                                  </w:r>
                                </w:p>
                              </w:tc>
                              <w:tc>
                                <w:tcPr>
                                  <w:tcW w:w="1150" w:type="dxa"/>
                                  <w:vMerge w:val="restart"/>
                                  <w:tcBorders>
                                    <w:top w:val="single" w:sz="4" w:space="0" w:color="000000"/>
                                    <w:bottom w:val="single" w:sz="4" w:space="0" w:color="000000"/>
                                    <w:right w:val="single" w:sz="4" w:space="0" w:color="000000"/>
                                  </w:tcBorders>
                                </w:tcPr>
                                <w:p>
                                  <w:pPr>
                                    <w:pStyle w:val="TableParagraph"/>
                                    <w:spacing w:line="240" w:lineRule="auto" w:before="0"/>
                                    <w:ind w:left="0"/>
                                    <w:jc w:val="left"/>
                                    <w:rPr>
                                      <w:rFonts w:ascii="Times New Roman"/>
                                      <w:sz w:val="18"/>
                                    </w:rPr>
                                  </w:pPr>
                                </w:p>
                              </w:tc>
                            </w:tr>
                            <w:tr>
                              <w:trPr>
                                <w:trHeight w:val="35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spacing w:line="240" w:lineRule="auto" w:before="113"/>
                                    <w:rPr>
                                      <w:sz w:val="14"/>
                                    </w:rPr>
                                  </w:pPr>
                                  <w:r>
                                    <w:rPr>
                                      <w:spacing w:val="-2"/>
                                      <w:sz w:val="14"/>
                                    </w:rPr>
                                    <w:t>Normativa</w:t>
                                  </w:r>
                                </w:p>
                              </w:tc>
                              <w:tc>
                                <w:tcPr>
                                  <w:tcW w:w="8070" w:type="dxa"/>
                                  <w:gridSpan w:val="3"/>
                                  <w:tcBorders>
                                    <w:top w:val="single" w:sz="4" w:space="0" w:color="000000"/>
                                    <w:left w:val="single" w:sz="4" w:space="0" w:color="000000"/>
                                    <w:bottom w:val="single" w:sz="4" w:space="0" w:color="000000"/>
                                  </w:tcBorders>
                                </w:tcPr>
                                <w:p>
                                  <w:pPr>
                                    <w:pStyle w:val="TableParagraph"/>
                                    <w:spacing w:line="140" w:lineRule="exact" w:before="50"/>
                                    <w:ind w:left="2737" w:right="45" w:hanging="2607"/>
                                    <w:jc w:val="left"/>
                                    <w:rPr>
                                      <w:sz w:val="14"/>
                                    </w:rPr>
                                  </w:pPr>
                                  <w:r>
                                    <w:rPr>
                                      <w:sz w:val="14"/>
                                    </w:rPr>
                                    <w:t>Firma</w:t>
                                  </w:r>
                                  <w:r>
                                    <w:rPr>
                                      <w:spacing w:val="-3"/>
                                      <w:sz w:val="14"/>
                                    </w:rPr>
                                    <w:t> </w:t>
                                  </w:r>
                                  <w:r>
                                    <w:rPr>
                                      <w:sz w:val="14"/>
                                    </w:rPr>
                                    <w:t>electrónica</w:t>
                                  </w:r>
                                  <w:r>
                                    <w:rPr>
                                      <w:spacing w:val="-3"/>
                                      <w:sz w:val="14"/>
                                    </w:rPr>
                                    <w:t> </w:t>
                                  </w:r>
                                  <w:r>
                                    <w:rPr>
                                      <w:sz w:val="14"/>
                                    </w:rPr>
                                    <w:t>de</w:t>
                                  </w:r>
                                  <w:r>
                                    <w:rPr>
                                      <w:spacing w:val="-3"/>
                                      <w:sz w:val="14"/>
                                    </w:rPr>
                                    <w:t> </w:t>
                                  </w:r>
                                  <w:r>
                                    <w:rPr>
                                      <w:sz w:val="14"/>
                                    </w:rPr>
                                    <w:t>confianza,</w:t>
                                  </w:r>
                                  <w:r>
                                    <w:rPr>
                                      <w:spacing w:val="-3"/>
                                      <w:sz w:val="14"/>
                                    </w:rPr>
                                    <w:t> </w:t>
                                  </w:r>
                                  <w:r>
                                    <w:rPr>
                                      <w:sz w:val="14"/>
                                    </w:rPr>
                                    <w:t>de</w:t>
                                  </w:r>
                                  <w:r>
                                    <w:rPr>
                                      <w:spacing w:val="-3"/>
                                      <w:sz w:val="14"/>
                                    </w:rPr>
                                    <w:t> </w:t>
                                  </w:r>
                                  <w:r>
                                    <w:rPr>
                                      <w:sz w:val="14"/>
                                    </w:rPr>
                                    <w:t>conformidad</w:t>
                                  </w:r>
                                  <w:r>
                                    <w:rPr>
                                      <w:spacing w:val="-3"/>
                                      <w:sz w:val="14"/>
                                    </w:rPr>
                                    <w:t> </w:t>
                                  </w:r>
                                  <w:r>
                                    <w:rPr>
                                      <w:sz w:val="14"/>
                                    </w:rPr>
                                    <w:t>con</w:t>
                                  </w:r>
                                  <w:r>
                                    <w:rPr>
                                      <w:spacing w:val="-3"/>
                                      <w:sz w:val="14"/>
                                    </w:rPr>
                                    <w:t> </w:t>
                                  </w:r>
                                  <w:r>
                                    <w:rPr>
                                      <w:sz w:val="14"/>
                                    </w:rPr>
                                    <w:t>la</w:t>
                                  </w:r>
                                  <w:r>
                                    <w:rPr>
                                      <w:spacing w:val="-3"/>
                                      <w:sz w:val="14"/>
                                    </w:rPr>
                                    <w:t> </w:t>
                                  </w:r>
                                  <w:r>
                                    <w:rPr>
                                      <w:sz w:val="14"/>
                                    </w:rPr>
                                    <w:t>ley</w:t>
                                  </w:r>
                                  <w:r>
                                    <w:rPr>
                                      <w:spacing w:val="-3"/>
                                      <w:sz w:val="14"/>
                                    </w:rPr>
                                    <w:t> </w:t>
                                  </w:r>
                                  <w:r>
                                    <w:rPr>
                                      <w:sz w:val="14"/>
                                    </w:rPr>
                                    <w:t>6/2020,</w:t>
                                  </w:r>
                                  <w:r>
                                    <w:rPr>
                                      <w:spacing w:val="-3"/>
                                      <w:sz w:val="14"/>
                                    </w:rPr>
                                    <w:t> </w:t>
                                  </w:r>
                                  <w:r>
                                    <w:rPr>
                                      <w:sz w:val="14"/>
                                    </w:rPr>
                                    <w:t>de</w:t>
                                  </w:r>
                                  <w:r>
                                    <w:rPr>
                                      <w:spacing w:val="-3"/>
                                      <w:sz w:val="14"/>
                                    </w:rPr>
                                    <w:t> </w:t>
                                  </w:r>
                                  <w:r>
                                    <w:rPr>
                                      <w:sz w:val="14"/>
                                    </w:rPr>
                                    <w:t>11</w:t>
                                  </w:r>
                                  <w:r>
                                    <w:rPr>
                                      <w:spacing w:val="-3"/>
                                      <w:sz w:val="14"/>
                                    </w:rPr>
                                    <w:t> </w:t>
                                  </w:r>
                                  <w:r>
                                    <w:rPr>
                                      <w:sz w:val="14"/>
                                    </w:rPr>
                                    <w:t>de</w:t>
                                  </w:r>
                                  <w:r>
                                    <w:rPr>
                                      <w:spacing w:val="-3"/>
                                      <w:sz w:val="14"/>
                                    </w:rPr>
                                    <w:t> </w:t>
                                  </w:r>
                                  <w:r>
                                    <w:rPr>
                                      <w:sz w:val="14"/>
                                    </w:rPr>
                                    <w:t>noviembre,</w:t>
                                  </w:r>
                                  <w:r>
                                    <w:rPr>
                                      <w:spacing w:val="-3"/>
                                      <w:sz w:val="14"/>
                                    </w:rPr>
                                    <w:t> </w:t>
                                  </w:r>
                                  <w:r>
                                    <w:rPr>
                                      <w:sz w:val="14"/>
                                    </w:rPr>
                                    <w:t>reguladora</w:t>
                                  </w:r>
                                  <w:r>
                                    <w:rPr>
                                      <w:spacing w:val="-3"/>
                                      <w:sz w:val="14"/>
                                    </w:rPr>
                                    <w:t> </w:t>
                                  </w:r>
                                  <w:r>
                                    <w:rPr>
                                      <w:sz w:val="14"/>
                                    </w:rPr>
                                    <w:t>de</w:t>
                                  </w:r>
                                  <w:r>
                                    <w:rPr>
                                      <w:spacing w:val="-3"/>
                                      <w:sz w:val="14"/>
                                    </w:rPr>
                                    <w:t> </w:t>
                                  </w:r>
                                  <w:r>
                                    <w:rPr>
                                      <w:sz w:val="14"/>
                                    </w:rPr>
                                    <w:t>determinados</w:t>
                                  </w:r>
                                  <w:r>
                                    <w:rPr>
                                      <w:spacing w:val="-3"/>
                                      <w:sz w:val="14"/>
                                    </w:rPr>
                                    <w:t> </w:t>
                                  </w:r>
                                  <w:r>
                                    <w:rPr>
                                      <w:sz w:val="14"/>
                                    </w:rPr>
                                    <w:t>aspectos</w:t>
                                  </w:r>
                                  <w:r>
                                    <w:rPr>
                                      <w:spacing w:val="40"/>
                                      <w:sz w:val="14"/>
                                    </w:rPr>
                                    <w:t> </w:t>
                                  </w:r>
                                  <w:r>
                                    <w:rPr>
                                      <w:sz w:val="14"/>
                                    </w:rPr>
                                    <w:t>de los servicios electrónicos de confianza</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FERNANDO BURÓN </w:t>
                                  </w:r>
                                  <w:r>
                                    <w:rPr>
                                      <w:spacing w:val="-2"/>
                                      <w:sz w:val="14"/>
                                    </w:rPr>
                                    <w:t>ÁLVAREZ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JOSÉ IGNACIO ZARANDONA </w:t>
                                  </w:r>
                                  <w:r>
                                    <w:rPr>
                                      <w:spacing w:val="-2"/>
                                      <w:sz w:val="14"/>
                                    </w:rPr>
                                    <w:t>FERNÁNDEZ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360" w:hRule="atLeast"/>
                              </w:trPr>
                              <w:tc>
                                <w:tcPr>
                                  <w:tcW w:w="2059" w:type="dxa"/>
                                  <w:tcBorders>
                                    <w:top w:val="single" w:sz="4" w:space="0" w:color="000000"/>
                                    <w:right w:val="single" w:sz="4" w:space="0" w:color="000000"/>
                                  </w:tcBorders>
                                  <w:shd w:val="clear" w:color="auto" w:fill="BFBFBF"/>
                                </w:tcPr>
                                <w:p>
                                  <w:pPr>
                                    <w:pStyle w:val="TableParagraph"/>
                                    <w:spacing w:line="240" w:lineRule="auto" w:before="113"/>
                                    <w:rPr>
                                      <w:sz w:val="14"/>
                                    </w:rPr>
                                  </w:pPr>
                                  <w:r>
                                    <w:rPr>
                                      <w:sz w:val="14"/>
                                    </w:rPr>
                                    <w:t>Url de </w:t>
                                  </w:r>
                                  <w:r>
                                    <w:rPr>
                                      <w:spacing w:val="-2"/>
                                      <w:sz w:val="14"/>
                                    </w:rPr>
                                    <w:t>verificación</w:t>
                                  </w:r>
                                </w:p>
                              </w:tc>
                              <w:tc>
                                <w:tcPr>
                                  <w:tcW w:w="5367" w:type="dxa"/>
                                  <w:tcBorders>
                                    <w:top w:val="single" w:sz="4" w:space="0" w:color="000000"/>
                                    <w:left w:val="single" w:sz="4" w:space="0" w:color="000000"/>
                                    <w:right w:val="single" w:sz="4" w:space="0" w:color="000000"/>
                                  </w:tcBorders>
                                </w:tcPr>
                                <w:p>
                                  <w:pPr>
                                    <w:pStyle w:val="TableParagraph"/>
                                    <w:spacing w:line="140" w:lineRule="exact" w:before="60"/>
                                    <w:ind w:left="1263" w:firstLine="148"/>
                                    <w:jc w:val="left"/>
                                    <w:rPr>
                                      <w:sz w:val="14"/>
                                    </w:rPr>
                                  </w:pPr>
                                  <w:r>
                                    <w:rPr>
                                      <w:spacing w:val="-2"/>
                                      <w:sz w:val="14"/>
                                    </w:rPr>
                                    <w:t>https://sede.valladolid.es/moad/verifirma-</w:t>
                                  </w:r>
                                  <w:r>
                                    <w:rPr>
                                      <w:spacing w:val="40"/>
                                      <w:sz w:val="14"/>
                                    </w:rPr>
                                    <w:t> </w:t>
                                  </w:r>
                                  <w:r>
                                    <w:rPr>
                                      <w:spacing w:val="-2"/>
                                      <w:sz w:val="14"/>
                                    </w:rPr>
                                    <w:t>moad/code/IVVH2O73JIMOJ6P3AXVBIF36IY</w:t>
                                  </w:r>
                                </w:p>
                              </w:tc>
                              <w:tc>
                                <w:tcPr>
                                  <w:tcW w:w="1073" w:type="dxa"/>
                                  <w:tcBorders>
                                    <w:top w:val="single" w:sz="4" w:space="0" w:color="000000"/>
                                    <w:left w:val="single" w:sz="4" w:space="0" w:color="000000"/>
                                    <w:right w:val="single" w:sz="4" w:space="0" w:color="000000"/>
                                  </w:tcBorders>
                                  <w:shd w:val="clear" w:color="auto" w:fill="BFBFBF"/>
                                </w:tcPr>
                                <w:p>
                                  <w:pPr>
                                    <w:pStyle w:val="TableParagraph"/>
                                    <w:spacing w:line="240" w:lineRule="auto" w:before="113"/>
                                    <w:ind w:left="11"/>
                                    <w:rPr>
                                      <w:sz w:val="14"/>
                                    </w:rPr>
                                  </w:pPr>
                                  <w:r>
                                    <w:rPr>
                                      <w:spacing w:val="-2"/>
                                      <w:sz w:val="14"/>
                                    </w:rPr>
                                    <w:t>Página</w:t>
                                  </w:r>
                                </w:p>
                              </w:tc>
                              <w:tc>
                                <w:tcPr>
                                  <w:tcW w:w="1630" w:type="dxa"/>
                                  <w:tcBorders>
                                    <w:top w:val="single" w:sz="4" w:space="0" w:color="000000"/>
                                    <w:left w:val="single" w:sz="4" w:space="0" w:color="000000"/>
                                  </w:tcBorders>
                                </w:tcPr>
                                <w:p>
                                  <w:pPr>
                                    <w:pStyle w:val="TableParagraph"/>
                                    <w:spacing w:line="240" w:lineRule="auto" w:before="113"/>
                                    <w:ind w:left="2" w:right="1"/>
                                    <w:rPr>
                                      <w:sz w:val="14"/>
                                    </w:rPr>
                                  </w:pPr>
                                  <w:r>
                                    <w:rPr>
                                      <w:spacing w:val="-5"/>
                                      <w:sz w:val="14"/>
                                    </w:rPr>
                                    <w:t>3/3</w:t>
                                  </w:r>
                                </w:p>
                              </w:tc>
                              <w:tc>
                                <w:tcPr>
                                  <w:tcW w:w="1150" w:type="dxa"/>
                                  <w:vMerge/>
                                  <w:tcBorders>
                                    <w:top w:val="nil"/>
                                    <w:bottom w:val="single" w:sz="4" w:space="0" w:color="000000"/>
                                    <w:right w:val="single" w:sz="4" w:space="0" w:color="000000"/>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12.75pt;margin-top:732.75pt;width:570.5pt;height:94.5pt;mso-position-horizontal-relative:page;mso-position-vertical-relative:page;z-index:15730176" type="#_x0000_t202" id="docshape7" filled="false" stroked="false">
                <v:textbox inset="0,0,0,0">
                  <w:txbxContent>
                    <w:tbl>
                      <w:tblPr>
                        <w:tblW w:w="0" w:type="auto"/>
                        <w:jc w:val="left"/>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059"/>
                        <w:gridCol w:w="5367"/>
                        <w:gridCol w:w="1073"/>
                        <w:gridCol w:w="1630"/>
                        <w:gridCol w:w="1150"/>
                      </w:tblGrid>
                      <w:tr>
                        <w:trPr>
                          <w:trHeight w:val="220" w:hRule="atLeast"/>
                        </w:trPr>
                        <w:tc>
                          <w:tcPr>
                            <w:tcW w:w="2059" w:type="dxa"/>
                            <w:tcBorders>
                              <w:bottom w:val="single" w:sz="4" w:space="0" w:color="000000"/>
                              <w:right w:val="single" w:sz="4" w:space="0" w:color="000000"/>
                            </w:tcBorders>
                            <w:shd w:val="clear" w:color="auto" w:fill="BFBFBF"/>
                          </w:tcPr>
                          <w:p>
                            <w:pPr>
                              <w:pStyle w:val="TableParagraph"/>
                              <w:spacing w:before="53"/>
                              <w:rPr>
                                <w:sz w:val="14"/>
                              </w:rPr>
                            </w:pPr>
                            <w:r>
                              <w:rPr>
                                <w:sz w:val="14"/>
                              </w:rPr>
                              <w:t>Código Seguro de </w:t>
                            </w:r>
                            <w:r>
                              <w:rPr>
                                <w:spacing w:val="-2"/>
                                <w:sz w:val="14"/>
                              </w:rPr>
                              <w:t>Verificación</w:t>
                            </w:r>
                          </w:p>
                        </w:tc>
                        <w:tc>
                          <w:tcPr>
                            <w:tcW w:w="5367" w:type="dxa"/>
                            <w:tcBorders>
                              <w:left w:val="single" w:sz="4" w:space="0" w:color="000000"/>
                              <w:bottom w:val="single" w:sz="4" w:space="0" w:color="000000"/>
                              <w:right w:val="single" w:sz="4" w:space="0" w:color="000000"/>
                            </w:tcBorders>
                          </w:tcPr>
                          <w:p>
                            <w:pPr>
                              <w:pStyle w:val="TableParagraph"/>
                              <w:spacing w:before="53"/>
                              <w:ind w:left="1629"/>
                              <w:jc w:val="left"/>
                              <w:rPr>
                                <w:sz w:val="14"/>
                              </w:rPr>
                            </w:pPr>
                            <w:r>
                              <w:rPr>
                                <w:spacing w:val="-2"/>
                                <w:sz w:val="14"/>
                              </w:rPr>
                              <w:t>IVVH2O73JIMOJ6P3AXVBIF36IY</w:t>
                            </w:r>
                          </w:p>
                        </w:tc>
                        <w:tc>
                          <w:tcPr>
                            <w:tcW w:w="1073" w:type="dxa"/>
                            <w:tcBorders>
                              <w:left w:val="single" w:sz="4" w:space="0" w:color="000000"/>
                              <w:bottom w:val="single" w:sz="4" w:space="0" w:color="000000"/>
                              <w:right w:val="single" w:sz="4" w:space="0" w:color="000000"/>
                            </w:tcBorders>
                            <w:shd w:val="clear" w:color="auto" w:fill="BFBFBF"/>
                          </w:tcPr>
                          <w:p>
                            <w:pPr>
                              <w:pStyle w:val="TableParagraph"/>
                              <w:spacing w:before="53"/>
                              <w:ind w:left="11"/>
                              <w:rPr>
                                <w:sz w:val="14"/>
                              </w:rPr>
                            </w:pPr>
                            <w:r>
                              <w:rPr>
                                <w:spacing w:val="-2"/>
                                <w:sz w:val="14"/>
                              </w:rPr>
                              <w:t>Fecha</w:t>
                            </w:r>
                          </w:p>
                        </w:tc>
                        <w:tc>
                          <w:tcPr>
                            <w:tcW w:w="1630" w:type="dxa"/>
                            <w:tcBorders>
                              <w:left w:val="single" w:sz="4" w:space="0" w:color="000000"/>
                              <w:bottom w:val="single" w:sz="4" w:space="0" w:color="000000"/>
                            </w:tcBorders>
                          </w:tcPr>
                          <w:p>
                            <w:pPr>
                              <w:pStyle w:val="TableParagraph"/>
                              <w:spacing w:before="53"/>
                              <w:ind w:left="2"/>
                              <w:rPr>
                                <w:sz w:val="14"/>
                              </w:rPr>
                            </w:pPr>
                            <w:r>
                              <w:rPr>
                                <w:sz w:val="14"/>
                              </w:rPr>
                              <w:t>19/03/2026 </w:t>
                            </w:r>
                            <w:r>
                              <w:rPr>
                                <w:spacing w:val="-2"/>
                                <w:sz w:val="14"/>
                              </w:rPr>
                              <w:t>14:38:06</w:t>
                            </w:r>
                          </w:p>
                        </w:tc>
                        <w:tc>
                          <w:tcPr>
                            <w:tcW w:w="1150" w:type="dxa"/>
                            <w:vMerge w:val="restart"/>
                            <w:tcBorders>
                              <w:top w:val="single" w:sz="4" w:space="0" w:color="000000"/>
                              <w:bottom w:val="single" w:sz="4" w:space="0" w:color="000000"/>
                              <w:right w:val="single" w:sz="4" w:space="0" w:color="000000"/>
                            </w:tcBorders>
                          </w:tcPr>
                          <w:p>
                            <w:pPr>
                              <w:pStyle w:val="TableParagraph"/>
                              <w:spacing w:line="240" w:lineRule="auto" w:before="0"/>
                              <w:ind w:left="0"/>
                              <w:jc w:val="left"/>
                              <w:rPr>
                                <w:rFonts w:ascii="Times New Roman"/>
                                <w:sz w:val="18"/>
                              </w:rPr>
                            </w:pPr>
                          </w:p>
                        </w:tc>
                      </w:tr>
                      <w:tr>
                        <w:trPr>
                          <w:trHeight w:val="35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spacing w:line="240" w:lineRule="auto" w:before="113"/>
                              <w:rPr>
                                <w:sz w:val="14"/>
                              </w:rPr>
                            </w:pPr>
                            <w:r>
                              <w:rPr>
                                <w:spacing w:val="-2"/>
                                <w:sz w:val="14"/>
                              </w:rPr>
                              <w:t>Normativa</w:t>
                            </w:r>
                          </w:p>
                        </w:tc>
                        <w:tc>
                          <w:tcPr>
                            <w:tcW w:w="8070" w:type="dxa"/>
                            <w:gridSpan w:val="3"/>
                            <w:tcBorders>
                              <w:top w:val="single" w:sz="4" w:space="0" w:color="000000"/>
                              <w:left w:val="single" w:sz="4" w:space="0" w:color="000000"/>
                              <w:bottom w:val="single" w:sz="4" w:space="0" w:color="000000"/>
                            </w:tcBorders>
                          </w:tcPr>
                          <w:p>
                            <w:pPr>
                              <w:pStyle w:val="TableParagraph"/>
                              <w:spacing w:line="140" w:lineRule="exact" w:before="50"/>
                              <w:ind w:left="2737" w:right="45" w:hanging="2607"/>
                              <w:jc w:val="left"/>
                              <w:rPr>
                                <w:sz w:val="14"/>
                              </w:rPr>
                            </w:pPr>
                            <w:r>
                              <w:rPr>
                                <w:sz w:val="14"/>
                              </w:rPr>
                              <w:t>Firma</w:t>
                            </w:r>
                            <w:r>
                              <w:rPr>
                                <w:spacing w:val="-3"/>
                                <w:sz w:val="14"/>
                              </w:rPr>
                              <w:t> </w:t>
                            </w:r>
                            <w:r>
                              <w:rPr>
                                <w:sz w:val="14"/>
                              </w:rPr>
                              <w:t>electrónica</w:t>
                            </w:r>
                            <w:r>
                              <w:rPr>
                                <w:spacing w:val="-3"/>
                                <w:sz w:val="14"/>
                              </w:rPr>
                              <w:t> </w:t>
                            </w:r>
                            <w:r>
                              <w:rPr>
                                <w:sz w:val="14"/>
                              </w:rPr>
                              <w:t>de</w:t>
                            </w:r>
                            <w:r>
                              <w:rPr>
                                <w:spacing w:val="-3"/>
                                <w:sz w:val="14"/>
                              </w:rPr>
                              <w:t> </w:t>
                            </w:r>
                            <w:r>
                              <w:rPr>
                                <w:sz w:val="14"/>
                              </w:rPr>
                              <w:t>confianza,</w:t>
                            </w:r>
                            <w:r>
                              <w:rPr>
                                <w:spacing w:val="-3"/>
                                <w:sz w:val="14"/>
                              </w:rPr>
                              <w:t> </w:t>
                            </w:r>
                            <w:r>
                              <w:rPr>
                                <w:sz w:val="14"/>
                              </w:rPr>
                              <w:t>de</w:t>
                            </w:r>
                            <w:r>
                              <w:rPr>
                                <w:spacing w:val="-3"/>
                                <w:sz w:val="14"/>
                              </w:rPr>
                              <w:t> </w:t>
                            </w:r>
                            <w:r>
                              <w:rPr>
                                <w:sz w:val="14"/>
                              </w:rPr>
                              <w:t>conformidad</w:t>
                            </w:r>
                            <w:r>
                              <w:rPr>
                                <w:spacing w:val="-3"/>
                                <w:sz w:val="14"/>
                              </w:rPr>
                              <w:t> </w:t>
                            </w:r>
                            <w:r>
                              <w:rPr>
                                <w:sz w:val="14"/>
                              </w:rPr>
                              <w:t>con</w:t>
                            </w:r>
                            <w:r>
                              <w:rPr>
                                <w:spacing w:val="-3"/>
                                <w:sz w:val="14"/>
                              </w:rPr>
                              <w:t> </w:t>
                            </w:r>
                            <w:r>
                              <w:rPr>
                                <w:sz w:val="14"/>
                              </w:rPr>
                              <w:t>la</w:t>
                            </w:r>
                            <w:r>
                              <w:rPr>
                                <w:spacing w:val="-3"/>
                                <w:sz w:val="14"/>
                              </w:rPr>
                              <w:t> </w:t>
                            </w:r>
                            <w:r>
                              <w:rPr>
                                <w:sz w:val="14"/>
                              </w:rPr>
                              <w:t>ley</w:t>
                            </w:r>
                            <w:r>
                              <w:rPr>
                                <w:spacing w:val="-3"/>
                                <w:sz w:val="14"/>
                              </w:rPr>
                              <w:t> </w:t>
                            </w:r>
                            <w:r>
                              <w:rPr>
                                <w:sz w:val="14"/>
                              </w:rPr>
                              <w:t>6/2020,</w:t>
                            </w:r>
                            <w:r>
                              <w:rPr>
                                <w:spacing w:val="-3"/>
                                <w:sz w:val="14"/>
                              </w:rPr>
                              <w:t> </w:t>
                            </w:r>
                            <w:r>
                              <w:rPr>
                                <w:sz w:val="14"/>
                              </w:rPr>
                              <w:t>de</w:t>
                            </w:r>
                            <w:r>
                              <w:rPr>
                                <w:spacing w:val="-3"/>
                                <w:sz w:val="14"/>
                              </w:rPr>
                              <w:t> </w:t>
                            </w:r>
                            <w:r>
                              <w:rPr>
                                <w:sz w:val="14"/>
                              </w:rPr>
                              <w:t>11</w:t>
                            </w:r>
                            <w:r>
                              <w:rPr>
                                <w:spacing w:val="-3"/>
                                <w:sz w:val="14"/>
                              </w:rPr>
                              <w:t> </w:t>
                            </w:r>
                            <w:r>
                              <w:rPr>
                                <w:sz w:val="14"/>
                              </w:rPr>
                              <w:t>de</w:t>
                            </w:r>
                            <w:r>
                              <w:rPr>
                                <w:spacing w:val="-3"/>
                                <w:sz w:val="14"/>
                              </w:rPr>
                              <w:t> </w:t>
                            </w:r>
                            <w:r>
                              <w:rPr>
                                <w:sz w:val="14"/>
                              </w:rPr>
                              <w:t>noviembre,</w:t>
                            </w:r>
                            <w:r>
                              <w:rPr>
                                <w:spacing w:val="-3"/>
                                <w:sz w:val="14"/>
                              </w:rPr>
                              <w:t> </w:t>
                            </w:r>
                            <w:r>
                              <w:rPr>
                                <w:sz w:val="14"/>
                              </w:rPr>
                              <w:t>reguladora</w:t>
                            </w:r>
                            <w:r>
                              <w:rPr>
                                <w:spacing w:val="-3"/>
                                <w:sz w:val="14"/>
                              </w:rPr>
                              <w:t> </w:t>
                            </w:r>
                            <w:r>
                              <w:rPr>
                                <w:sz w:val="14"/>
                              </w:rPr>
                              <w:t>de</w:t>
                            </w:r>
                            <w:r>
                              <w:rPr>
                                <w:spacing w:val="-3"/>
                                <w:sz w:val="14"/>
                              </w:rPr>
                              <w:t> </w:t>
                            </w:r>
                            <w:r>
                              <w:rPr>
                                <w:sz w:val="14"/>
                              </w:rPr>
                              <w:t>determinados</w:t>
                            </w:r>
                            <w:r>
                              <w:rPr>
                                <w:spacing w:val="-3"/>
                                <w:sz w:val="14"/>
                              </w:rPr>
                              <w:t> </w:t>
                            </w:r>
                            <w:r>
                              <w:rPr>
                                <w:sz w:val="14"/>
                              </w:rPr>
                              <w:t>aspectos</w:t>
                            </w:r>
                            <w:r>
                              <w:rPr>
                                <w:spacing w:val="40"/>
                                <w:sz w:val="14"/>
                              </w:rPr>
                              <w:t> </w:t>
                            </w:r>
                            <w:r>
                              <w:rPr>
                                <w:sz w:val="14"/>
                              </w:rPr>
                              <w:t>de los servicios electrónicos de confianza</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FERNANDO BURÓN </w:t>
                            </w:r>
                            <w:r>
                              <w:rPr>
                                <w:spacing w:val="-2"/>
                                <w:sz w:val="14"/>
                              </w:rPr>
                              <w:t>ÁLVAREZ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JOSÉ IGNACIO ZARANDONA </w:t>
                            </w:r>
                            <w:r>
                              <w:rPr>
                                <w:spacing w:val="-2"/>
                                <w:sz w:val="14"/>
                              </w:rPr>
                              <w:t>FERNÁNDEZ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210" w:hRule="atLeast"/>
                        </w:trPr>
                        <w:tc>
                          <w:tcPr>
                            <w:tcW w:w="2059" w:type="dxa"/>
                            <w:tcBorders>
                              <w:top w:val="single" w:sz="4" w:space="0" w:color="000000"/>
                              <w:bottom w:val="single" w:sz="4" w:space="0" w:color="000000"/>
                              <w:right w:val="single" w:sz="4" w:space="0" w:color="000000"/>
                            </w:tcBorders>
                            <w:shd w:val="clear" w:color="auto" w:fill="BFBFBF"/>
                          </w:tcPr>
                          <w:p>
                            <w:pPr>
                              <w:pStyle w:val="TableParagraph"/>
                              <w:rPr>
                                <w:sz w:val="14"/>
                              </w:rPr>
                            </w:pPr>
                            <w:r>
                              <w:rPr>
                                <w:spacing w:val="-2"/>
                                <w:sz w:val="14"/>
                              </w:rPr>
                              <w:t>Firmante</w:t>
                            </w:r>
                          </w:p>
                        </w:tc>
                        <w:tc>
                          <w:tcPr>
                            <w:tcW w:w="8070" w:type="dxa"/>
                            <w:gridSpan w:val="3"/>
                            <w:tcBorders>
                              <w:top w:val="single" w:sz="4" w:space="0" w:color="000000"/>
                              <w:left w:val="single" w:sz="4" w:space="0" w:color="000000"/>
                              <w:bottom w:val="single" w:sz="4" w:space="0" w:color="000000"/>
                            </w:tcBorders>
                          </w:tcPr>
                          <w:p>
                            <w:pPr>
                              <w:pStyle w:val="TableParagraph"/>
                              <w:ind w:left="1"/>
                              <w:rPr>
                                <w:sz w:val="14"/>
                              </w:rPr>
                            </w:pPr>
                            <w:r>
                              <w:rPr>
                                <w:sz w:val="14"/>
                              </w:rPr>
                              <w:t>BEATRIZ EDILLA </w:t>
                            </w:r>
                            <w:r>
                              <w:rPr>
                                <w:spacing w:val="-2"/>
                                <w:sz w:val="14"/>
                              </w:rPr>
                              <w:t>GÓMEZ</w:t>
                            </w:r>
                          </w:p>
                        </w:tc>
                        <w:tc>
                          <w:tcPr>
                            <w:tcW w:w="1150" w:type="dxa"/>
                            <w:vMerge/>
                            <w:tcBorders>
                              <w:top w:val="nil"/>
                              <w:bottom w:val="single" w:sz="4" w:space="0" w:color="000000"/>
                              <w:right w:val="single" w:sz="4" w:space="0" w:color="000000"/>
                            </w:tcBorders>
                          </w:tcPr>
                          <w:p>
                            <w:pPr>
                              <w:rPr>
                                <w:sz w:val="2"/>
                                <w:szCs w:val="2"/>
                              </w:rPr>
                            </w:pPr>
                          </w:p>
                        </w:tc>
                      </w:tr>
                      <w:tr>
                        <w:trPr>
                          <w:trHeight w:val="360" w:hRule="atLeast"/>
                        </w:trPr>
                        <w:tc>
                          <w:tcPr>
                            <w:tcW w:w="2059" w:type="dxa"/>
                            <w:tcBorders>
                              <w:top w:val="single" w:sz="4" w:space="0" w:color="000000"/>
                              <w:right w:val="single" w:sz="4" w:space="0" w:color="000000"/>
                            </w:tcBorders>
                            <w:shd w:val="clear" w:color="auto" w:fill="BFBFBF"/>
                          </w:tcPr>
                          <w:p>
                            <w:pPr>
                              <w:pStyle w:val="TableParagraph"/>
                              <w:spacing w:line="240" w:lineRule="auto" w:before="113"/>
                              <w:rPr>
                                <w:sz w:val="14"/>
                              </w:rPr>
                            </w:pPr>
                            <w:r>
                              <w:rPr>
                                <w:sz w:val="14"/>
                              </w:rPr>
                              <w:t>Url de </w:t>
                            </w:r>
                            <w:r>
                              <w:rPr>
                                <w:spacing w:val="-2"/>
                                <w:sz w:val="14"/>
                              </w:rPr>
                              <w:t>verificación</w:t>
                            </w:r>
                          </w:p>
                        </w:tc>
                        <w:tc>
                          <w:tcPr>
                            <w:tcW w:w="5367" w:type="dxa"/>
                            <w:tcBorders>
                              <w:top w:val="single" w:sz="4" w:space="0" w:color="000000"/>
                              <w:left w:val="single" w:sz="4" w:space="0" w:color="000000"/>
                              <w:right w:val="single" w:sz="4" w:space="0" w:color="000000"/>
                            </w:tcBorders>
                          </w:tcPr>
                          <w:p>
                            <w:pPr>
                              <w:pStyle w:val="TableParagraph"/>
                              <w:spacing w:line="140" w:lineRule="exact" w:before="60"/>
                              <w:ind w:left="1263" w:firstLine="148"/>
                              <w:jc w:val="left"/>
                              <w:rPr>
                                <w:sz w:val="14"/>
                              </w:rPr>
                            </w:pPr>
                            <w:r>
                              <w:rPr>
                                <w:spacing w:val="-2"/>
                                <w:sz w:val="14"/>
                              </w:rPr>
                              <w:t>https://sede.valladolid.es/moad/verifirma-</w:t>
                            </w:r>
                            <w:r>
                              <w:rPr>
                                <w:spacing w:val="40"/>
                                <w:sz w:val="14"/>
                              </w:rPr>
                              <w:t> </w:t>
                            </w:r>
                            <w:r>
                              <w:rPr>
                                <w:spacing w:val="-2"/>
                                <w:sz w:val="14"/>
                              </w:rPr>
                              <w:t>moad/code/IVVH2O73JIMOJ6P3AXVBIF36IY</w:t>
                            </w:r>
                          </w:p>
                        </w:tc>
                        <w:tc>
                          <w:tcPr>
                            <w:tcW w:w="1073" w:type="dxa"/>
                            <w:tcBorders>
                              <w:top w:val="single" w:sz="4" w:space="0" w:color="000000"/>
                              <w:left w:val="single" w:sz="4" w:space="0" w:color="000000"/>
                              <w:right w:val="single" w:sz="4" w:space="0" w:color="000000"/>
                            </w:tcBorders>
                            <w:shd w:val="clear" w:color="auto" w:fill="BFBFBF"/>
                          </w:tcPr>
                          <w:p>
                            <w:pPr>
                              <w:pStyle w:val="TableParagraph"/>
                              <w:spacing w:line="240" w:lineRule="auto" w:before="113"/>
                              <w:ind w:left="11"/>
                              <w:rPr>
                                <w:sz w:val="14"/>
                              </w:rPr>
                            </w:pPr>
                            <w:r>
                              <w:rPr>
                                <w:spacing w:val="-2"/>
                                <w:sz w:val="14"/>
                              </w:rPr>
                              <w:t>Página</w:t>
                            </w:r>
                          </w:p>
                        </w:tc>
                        <w:tc>
                          <w:tcPr>
                            <w:tcW w:w="1630" w:type="dxa"/>
                            <w:tcBorders>
                              <w:top w:val="single" w:sz="4" w:space="0" w:color="000000"/>
                              <w:left w:val="single" w:sz="4" w:space="0" w:color="000000"/>
                            </w:tcBorders>
                          </w:tcPr>
                          <w:p>
                            <w:pPr>
                              <w:pStyle w:val="TableParagraph"/>
                              <w:spacing w:line="240" w:lineRule="auto" w:before="113"/>
                              <w:ind w:left="2" w:right="1"/>
                              <w:rPr>
                                <w:sz w:val="14"/>
                              </w:rPr>
                            </w:pPr>
                            <w:r>
                              <w:rPr>
                                <w:spacing w:val="-5"/>
                                <w:sz w:val="14"/>
                              </w:rPr>
                              <w:t>3/3</w:t>
                            </w:r>
                          </w:p>
                        </w:tc>
                        <w:tc>
                          <w:tcPr>
                            <w:tcW w:w="1150" w:type="dxa"/>
                            <w:vMerge/>
                            <w:tcBorders>
                              <w:top w:val="nil"/>
                              <w:bottom w:val="single" w:sz="4" w:space="0" w:color="000000"/>
                              <w:right w:val="single" w:sz="4" w:space="0" w:color="000000"/>
                            </w:tcBorders>
                          </w:tcPr>
                          <w:p>
                            <w:pPr>
                              <w:rPr>
                                <w:sz w:val="2"/>
                                <w:szCs w:val="2"/>
                              </w:rPr>
                            </w:pPr>
                          </w:p>
                        </w:tc>
                      </w:tr>
                    </w:tbl>
                    <w:p>
                      <w:pPr>
                        <w:pStyle w:val="BodyText"/>
                      </w:pPr>
                    </w:p>
                  </w:txbxContent>
                </v:textbox>
                <w10:wrap type="none"/>
              </v:shape>
            </w:pict>
          </mc:Fallback>
        </mc:AlternateContent>
      </w:r>
      <w:r>
        <w:rPr/>
        <w:drawing>
          <wp:anchor distT="0" distB="0" distL="0" distR="0" allowOverlap="1" layoutInCell="1" locked="0" behindDoc="1" simplePos="0" relativeHeight="487427072">
            <wp:simplePos x="0" y="0"/>
            <wp:positionH relativeFrom="page">
              <wp:posOffset>6720064</wp:posOffset>
            </wp:positionH>
            <wp:positionV relativeFrom="page">
              <wp:posOffset>9612489</wp:posOffset>
            </wp:positionV>
            <wp:extent cx="574322" cy="574322"/>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6" cstate="print"/>
                    <a:stretch>
                      <a:fillRect/>
                    </a:stretch>
                  </pic:blipFill>
                  <pic:spPr>
                    <a:xfrm>
                      <a:off x="0" y="0"/>
                      <a:ext cx="574322" cy="574322"/>
                    </a:xfrm>
                    <a:prstGeom prst="rect">
                      <a:avLst/>
                    </a:prstGeom>
                  </pic:spPr>
                </pic:pic>
              </a:graphicData>
            </a:graphic>
          </wp:anchor>
        </w:drawing>
      </w:r>
    </w:p>
    <w:p>
      <w:pPr>
        <w:pStyle w:val="BodyText"/>
        <w:spacing w:before="248"/>
      </w:pPr>
    </w:p>
    <w:p>
      <w:pPr>
        <w:pStyle w:val="ListParagraph"/>
        <w:numPr>
          <w:ilvl w:val="0"/>
          <w:numId w:val="2"/>
        </w:numPr>
        <w:tabs>
          <w:tab w:pos="1749" w:val="left" w:leader="none"/>
        </w:tabs>
        <w:spacing w:line="240" w:lineRule="auto" w:before="0" w:after="0"/>
        <w:ind w:left="1749" w:right="0" w:hanging="249"/>
        <w:jc w:val="left"/>
        <w:rPr>
          <w:sz w:val="21"/>
        </w:rPr>
      </w:pPr>
      <w:r>
        <w:rPr>
          <w:sz w:val="21"/>
        </w:rPr>
        <w:t>Este</w:t>
      </w:r>
      <w:r>
        <w:rPr>
          <w:spacing w:val="1"/>
          <w:sz w:val="21"/>
        </w:rPr>
        <w:t> </w:t>
      </w:r>
      <w:r>
        <w:rPr>
          <w:sz w:val="21"/>
        </w:rPr>
        <w:t>Protocolo</w:t>
      </w:r>
      <w:r>
        <w:rPr>
          <w:spacing w:val="1"/>
          <w:sz w:val="21"/>
        </w:rPr>
        <w:t> </w:t>
      </w:r>
      <w:r>
        <w:rPr>
          <w:sz w:val="21"/>
        </w:rPr>
        <w:t>no</w:t>
      </w:r>
      <w:r>
        <w:rPr>
          <w:spacing w:val="4"/>
          <w:sz w:val="21"/>
        </w:rPr>
        <w:t> </w:t>
      </w:r>
      <w:r>
        <w:rPr>
          <w:sz w:val="21"/>
        </w:rPr>
        <w:t>supone</w:t>
      </w:r>
      <w:r>
        <w:rPr>
          <w:spacing w:val="3"/>
          <w:sz w:val="21"/>
        </w:rPr>
        <w:t> </w:t>
      </w:r>
      <w:r>
        <w:rPr>
          <w:sz w:val="21"/>
        </w:rPr>
        <w:t>ningún</w:t>
      </w:r>
      <w:r>
        <w:rPr>
          <w:spacing w:val="3"/>
          <w:sz w:val="21"/>
        </w:rPr>
        <w:t> </w:t>
      </w:r>
      <w:r>
        <w:rPr>
          <w:sz w:val="21"/>
        </w:rPr>
        <w:t>gasto</w:t>
      </w:r>
      <w:r>
        <w:rPr>
          <w:spacing w:val="1"/>
          <w:sz w:val="21"/>
        </w:rPr>
        <w:t> </w:t>
      </w:r>
      <w:r>
        <w:rPr>
          <w:sz w:val="21"/>
        </w:rPr>
        <w:t>directo</w:t>
      </w:r>
      <w:r>
        <w:rPr>
          <w:spacing w:val="2"/>
          <w:sz w:val="21"/>
        </w:rPr>
        <w:t> </w:t>
      </w:r>
      <w:r>
        <w:rPr>
          <w:sz w:val="21"/>
        </w:rPr>
        <w:t>para</w:t>
      </w:r>
      <w:r>
        <w:rPr>
          <w:spacing w:val="3"/>
          <w:sz w:val="21"/>
        </w:rPr>
        <w:t> </w:t>
      </w:r>
      <w:r>
        <w:rPr>
          <w:sz w:val="21"/>
        </w:rPr>
        <w:t>el</w:t>
      </w:r>
      <w:r>
        <w:rPr>
          <w:spacing w:val="2"/>
          <w:sz w:val="21"/>
        </w:rPr>
        <w:t> </w:t>
      </w:r>
      <w:r>
        <w:rPr>
          <w:spacing w:val="-2"/>
          <w:sz w:val="21"/>
        </w:rPr>
        <w:t>Ayuntamiento.</w:t>
      </w:r>
    </w:p>
    <w:p>
      <w:pPr>
        <w:pStyle w:val="BodyText"/>
        <w:spacing w:before="45"/>
      </w:pPr>
    </w:p>
    <w:p>
      <w:pPr>
        <w:pStyle w:val="ListParagraph"/>
        <w:numPr>
          <w:ilvl w:val="0"/>
          <w:numId w:val="2"/>
        </w:numPr>
        <w:tabs>
          <w:tab w:pos="1748" w:val="left" w:leader="none"/>
          <w:tab w:pos="1751" w:val="left" w:leader="none"/>
        </w:tabs>
        <w:spacing w:line="280" w:lineRule="auto" w:before="0" w:after="0"/>
        <w:ind w:left="1751" w:right="1753" w:hanging="252"/>
        <w:jc w:val="both"/>
        <w:rPr>
          <w:sz w:val="21"/>
        </w:rPr>
      </w:pPr>
      <w:r>
        <w:rPr>
          <w:sz w:val="21"/>
        </w:rPr>
        <w:t>Al no tratarse de un Convenio de colaboración, no es necesario el informe jurídico que el artículo 38 de la “Ordenanza de Procedimiento Administrativo y Administración Electrónica del Ayuntamiento de Valladolid” exige para aquellos.</w:t>
      </w:r>
    </w:p>
    <w:p>
      <w:pPr>
        <w:pStyle w:val="BodyText"/>
        <w:spacing w:before="1"/>
      </w:pPr>
    </w:p>
    <w:p>
      <w:pPr>
        <w:pStyle w:val="ListParagraph"/>
        <w:numPr>
          <w:ilvl w:val="0"/>
          <w:numId w:val="2"/>
        </w:numPr>
        <w:tabs>
          <w:tab w:pos="1748" w:val="left" w:leader="none"/>
          <w:tab w:pos="1751" w:val="left" w:leader="none"/>
        </w:tabs>
        <w:spacing w:line="278" w:lineRule="auto" w:before="0" w:after="0"/>
        <w:ind w:left="1751" w:right="1748" w:hanging="252"/>
        <w:jc w:val="both"/>
        <w:rPr>
          <w:sz w:val="19"/>
        </w:rPr>
      </w:pPr>
      <w:r>
        <w:rPr>
          <w:sz w:val="21"/>
        </w:rPr>
        <w:t>El órgano competente para la aprobación de este expediente es el concejal delegado del Área de Urbanismo y Vivienda, en virtud del Decreto de Alcaldía número 2023/5251, de 3 de julio</w:t>
      </w:r>
      <w:r>
        <w:rPr>
          <w:sz w:val="19"/>
        </w:rPr>
        <w:t>.</w:t>
      </w:r>
    </w:p>
    <w:p>
      <w:pPr>
        <w:pStyle w:val="Heading1"/>
        <w:spacing w:before="217"/>
      </w:pPr>
      <w:r>
        <w:rPr/>
        <w:t>SE</w:t>
      </w:r>
      <w:r>
        <w:rPr>
          <w:spacing w:val="4"/>
        </w:rPr>
        <w:t> </w:t>
      </w:r>
      <w:r>
        <w:rPr/>
        <w:t>PROPONE</w:t>
      </w:r>
      <w:r>
        <w:rPr>
          <w:spacing w:val="4"/>
        </w:rPr>
        <w:t> </w:t>
      </w:r>
      <w:r>
        <w:rPr/>
        <w:t>LA</w:t>
      </w:r>
      <w:r>
        <w:rPr>
          <w:spacing w:val="2"/>
        </w:rPr>
        <w:t> </w:t>
      </w:r>
      <w:r>
        <w:rPr/>
        <w:t>ADOPCIÓN</w:t>
      </w:r>
      <w:r>
        <w:rPr>
          <w:spacing w:val="4"/>
        </w:rPr>
        <w:t> </w:t>
      </w:r>
      <w:r>
        <w:rPr/>
        <w:t>DE</w:t>
      </w:r>
      <w:r>
        <w:rPr>
          <w:spacing w:val="4"/>
        </w:rPr>
        <w:t> </w:t>
      </w:r>
      <w:r>
        <w:rPr/>
        <w:t>LA</w:t>
      </w:r>
      <w:r>
        <w:rPr>
          <w:spacing w:val="5"/>
        </w:rPr>
        <w:t> </w:t>
      </w:r>
      <w:r>
        <w:rPr/>
        <w:t>SIGUIENTE</w:t>
      </w:r>
      <w:r>
        <w:rPr>
          <w:spacing w:val="2"/>
        </w:rPr>
        <w:t> </w:t>
      </w:r>
      <w:r>
        <w:rPr>
          <w:spacing w:val="-2"/>
        </w:rPr>
        <w:t>RESOLUCIÓN</w:t>
      </w:r>
    </w:p>
    <w:p>
      <w:pPr>
        <w:pStyle w:val="BodyText"/>
        <w:spacing w:line="278" w:lineRule="auto" w:before="254"/>
        <w:ind w:left="1751" w:right="1746"/>
        <w:jc w:val="both"/>
      </w:pPr>
      <w:r>
        <w:rPr>
          <w:b/>
        </w:rPr>
        <w:t>PRIMERO:</w:t>
      </w:r>
      <w:r>
        <w:rPr>
          <w:b/>
          <w:spacing w:val="-3"/>
        </w:rPr>
        <w:t> </w:t>
      </w:r>
      <w:r>
        <w:rPr/>
        <w:t>Aprobar</w:t>
      </w:r>
      <w:r>
        <w:rPr>
          <w:spacing w:val="-7"/>
        </w:rPr>
        <w:t> </w:t>
      </w:r>
      <w:r>
        <w:rPr/>
        <w:t>la</w:t>
      </w:r>
      <w:r>
        <w:rPr>
          <w:spacing w:val="-4"/>
        </w:rPr>
        <w:t> </w:t>
      </w:r>
      <w:r>
        <w:rPr/>
        <w:t>suscripción</w:t>
      </w:r>
      <w:r>
        <w:rPr>
          <w:spacing w:val="-3"/>
        </w:rPr>
        <w:t> </w:t>
      </w:r>
      <w:r>
        <w:rPr/>
        <w:t>del</w:t>
      </w:r>
      <w:r>
        <w:rPr>
          <w:spacing w:val="-7"/>
        </w:rPr>
        <w:t> </w:t>
      </w:r>
      <w:r>
        <w:rPr/>
        <w:t>Protocolo</w:t>
      </w:r>
      <w:r>
        <w:rPr>
          <w:spacing w:val="-7"/>
        </w:rPr>
        <w:t> </w:t>
      </w:r>
      <w:r>
        <w:rPr/>
        <w:t>general</w:t>
      </w:r>
      <w:r>
        <w:rPr>
          <w:spacing w:val="-7"/>
        </w:rPr>
        <w:t> </w:t>
      </w:r>
      <w:r>
        <w:rPr/>
        <w:t>de</w:t>
      </w:r>
      <w:r>
        <w:rPr>
          <w:spacing w:val="-5"/>
        </w:rPr>
        <w:t> </w:t>
      </w:r>
      <w:r>
        <w:rPr/>
        <w:t>Actuación</w:t>
      </w:r>
      <w:r>
        <w:rPr>
          <w:spacing w:val="-7"/>
        </w:rPr>
        <w:t> </w:t>
      </w:r>
      <w:r>
        <w:rPr/>
        <w:t>entre</w:t>
      </w:r>
      <w:r>
        <w:rPr>
          <w:spacing w:val="-7"/>
        </w:rPr>
        <w:t> </w:t>
      </w:r>
      <w:r>
        <w:rPr/>
        <w:t>el</w:t>
      </w:r>
      <w:r>
        <w:rPr>
          <w:spacing w:val="-3"/>
        </w:rPr>
        <w:t> </w:t>
      </w:r>
      <w:r>
        <w:rPr/>
        <w:t>Ayuntamiento de Valladolid y</w:t>
      </w:r>
      <w:r>
        <w:rPr>
          <w:spacing w:val="-3"/>
        </w:rPr>
        <w:t> </w:t>
      </w:r>
      <w:r>
        <w:rPr/>
        <w:t>el Real</w:t>
      </w:r>
      <w:r>
        <w:rPr>
          <w:spacing w:val="-2"/>
        </w:rPr>
        <w:t> </w:t>
      </w:r>
      <w:r>
        <w:rPr/>
        <w:t>Valladolid Club</w:t>
      </w:r>
      <w:r>
        <w:rPr>
          <w:spacing w:val="-1"/>
        </w:rPr>
        <w:t> </w:t>
      </w:r>
      <w:r>
        <w:rPr/>
        <w:t>de Fútbol S.A.D.,</w:t>
      </w:r>
      <w:r>
        <w:rPr>
          <w:spacing w:val="80"/>
        </w:rPr>
        <w:t> </w:t>
      </w:r>
      <w:r>
        <w:rPr/>
        <w:t>para</w:t>
      </w:r>
      <w:r>
        <w:rPr>
          <w:spacing w:val="-2"/>
        </w:rPr>
        <w:t> </w:t>
      </w:r>
      <w:r>
        <w:rPr/>
        <w:t>determinar</w:t>
      </w:r>
      <w:r>
        <w:rPr>
          <w:spacing w:val="-2"/>
        </w:rPr>
        <w:t> </w:t>
      </w:r>
      <w:r>
        <w:rPr/>
        <w:t>el</w:t>
      </w:r>
      <w:r>
        <w:rPr>
          <w:spacing w:val="-2"/>
        </w:rPr>
        <w:t> </w:t>
      </w:r>
      <w:r>
        <w:rPr/>
        <w:t>esquema</w:t>
      </w:r>
      <w:r>
        <w:rPr>
          <w:spacing w:val="-2"/>
        </w:rPr>
        <w:t> </w:t>
      </w:r>
      <w:r>
        <w:rPr/>
        <w:t>básico de colaboración para la mejora y uso del estadio José Zorrilla, cuyo texto se incluye en el </w:t>
      </w:r>
      <w:r>
        <w:rPr>
          <w:spacing w:val="-2"/>
        </w:rPr>
        <w:t>expediente.</w:t>
      </w:r>
    </w:p>
    <w:p>
      <w:pPr>
        <w:pStyle w:val="BodyText"/>
      </w:pPr>
    </w:p>
    <w:p>
      <w:pPr>
        <w:pStyle w:val="BodyText"/>
      </w:pPr>
    </w:p>
    <w:p>
      <w:pPr>
        <w:pStyle w:val="BodyText"/>
      </w:pPr>
    </w:p>
    <w:p>
      <w:pPr>
        <w:pStyle w:val="BodyText"/>
        <w:spacing w:before="38"/>
      </w:pPr>
    </w:p>
    <w:p>
      <w:pPr>
        <w:spacing w:line="242" w:lineRule="auto" w:before="0"/>
        <w:ind w:left="1751" w:right="1746" w:firstLine="0"/>
        <w:jc w:val="both"/>
        <w:rPr>
          <w:i/>
          <w:sz w:val="21"/>
        </w:rPr>
      </w:pPr>
      <w:r>
        <w:rPr>
          <w:i/>
          <w:sz w:val="21"/>
        </w:rPr>
        <w:t>Documento firmado electrónicamente por la jefa de la Secretaria Ejecutiva del Área de Urbanismo</w:t>
      </w:r>
      <w:r>
        <w:rPr>
          <w:i/>
          <w:spacing w:val="-2"/>
          <w:sz w:val="21"/>
        </w:rPr>
        <w:t> </w:t>
      </w:r>
      <w:r>
        <w:rPr>
          <w:i/>
          <w:sz w:val="21"/>
        </w:rPr>
        <w:t>y Vivienda,</w:t>
      </w:r>
      <w:r>
        <w:rPr>
          <w:i/>
          <w:spacing w:val="-1"/>
          <w:sz w:val="21"/>
        </w:rPr>
        <w:t> </w:t>
      </w:r>
      <w:r>
        <w:rPr>
          <w:i/>
          <w:sz w:val="21"/>
        </w:rPr>
        <w:t>con</w:t>
      </w:r>
      <w:r>
        <w:rPr>
          <w:i/>
          <w:spacing w:val="-2"/>
          <w:sz w:val="21"/>
        </w:rPr>
        <w:t> </w:t>
      </w:r>
      <w:r>
        <w:rPr>
          <w:i/>
          <w:sz w:val="21"/>
        </w:rPr>
        <w:t>el</w:t>
      </w:r>
      <w:r>
        <w:rPr>
          <w:i/>
          <w:spacing w:val="-3"/>
          <w:sz w:val="21"/>
        </w:rPr>
        <w:t> </w:t>
      </w:r>
      <w:r>
        <w:rPr>
          <w:i/>
          <w:sz w:val="21"/>
        </w:rPr>
        <w:t>visto</w:t>
      </w:r>
      <w:r>
        <w:rPr>
          <w:i/>
          <w:spacing w:val="-4"/>
          <w:sz w:val="21"/>
        </w:rPr>
        <w:t> </w:t>
      </w:r>
      <w:r>
        <w:rPr>
          <w:i/>
          <w:sz w:val="21"/>
        </w:rPr>
        <w:t>bueno</w:t>
      </w:r>
      <w:r>
        <w:rPr>
          <w:i/>
          <w:spacing w:val="-2"/>
          <w:sz w:val="21"/>
        </w:rPr>
        <w:t> </w:t>
      </w:r>
      <w:r>
        <w:rPr>
          <w:i/>
          <w:sz w:val="21"/>
        </w:rPr>
        <w:t>del</w:t>
      </w:r>
      <w:r>
        <w:rPr>
          <w:i/>
          <w:spacing w:val="-1"/>
          <w:sz w:val="21"/>
        </w:rPr>
        <w:t> </w:t>
      </w:r>
      <w:r>
        <w:rPr>
          <w:i/>
          <w:sz w:val="21"/>
        </w:rPr>
        <w:t>director</w:t>
      </w:r>
      <w:r>
        <w:rPr>
          <w:i/>
          <w:spacing w:val="-2"/>
          <w:sz w:val="21"/>
        </w:rPr>
        <w:t> </w:t>
      </w:r>
      <w:r>
        <w:rPr>
          <w:i/>
          <w:sz w:val="21"/>
        </w:rPr>
        <w:t>del</w:t>
      </w:r>
      <w:r>
        <w:rPr>
          <w:i/>
          <w:spacing w:val="-1"/>
          <w:sz w:val="21"/>
        </w:rPr>
        <w:t> </w:t>
      </w:r>
      <w:r>
        <w:rPr>
          <w:i/>
          <w:sz w:val="21"/>
        </w:rPr>
        <w:t>Área y</w:t>
      </w:r>
      <w:r>
        <w:rPr>
          <w:i/>
          <w:spacing w:val="-3"/>
          <w:sz w:val="21"/>
        </w:rPr>
        <w:t> </w:t>
      </w:r>
      <w:r>
        <w:rPr>
          <w:i/>
          <w:sz w:val="21"/>
        </w:rPr>
        <w:t>por</w:t>
      </w:r>
      <w:r>
        <w:rPr>
          <w:i/>
          <w:spacing w:val="-2"/>
          <w:sz w:val="21"/>
        </w:rPr>
        <w:t> </w:t>
      </w:r>
      <w:r>
        <w:rPr>
          <w:i/>
          <w:sz w:val="21"/>
        </w:rPr>
        <w:t>el</w:t>
      </w:r>
      <w:r>
        <w:rPr>
          <w:i/>
          <w:spacing w:val="-3"/>
          <w:sz w:val="21"/>
        </w:rPr>
        <w:t> </w:t>
      </w:r>
      <w:r>
        <w:rPr>
          <w:i/>
          <w:sz w:val="21"/>
        </w:rPr>
        <w:t>concejal</w:t>
      </w:r>
      <w:r>
        <w:rPr>
          <w:i/>
          <w:spacing w:val="-1"/>
          <w:sz w:val="21"/>
        </w:rPr>
        <w:t> </w:t>
      </w:r>
      <w:r>
        <w:rPr>
          <w:i/>
          <w:sz w:val="21"/>
        </w:rPr>
        <w:t>delegado</w:t>
      </w:r>
      <w:r>
        <w:rPr>
          <w:i/>
          <w:spacing w:val="-2"/>
          <w:sz w:val="21"/>
        </w:rPr>
        <w:t> </w:t>
      </w:r>
      <w:r>
        <w:rPr>
          <w:i/>
          <w:sz w:val="21"/>
        </w:rPr>
        <w:t>del Área de Urbanismo y Vivienda, de todo lo cual, como Vicesecretario General, doy fe.</w:t>
      </w:r>
    </w:p>
    <w:sectPr>
      <w:pgSz w:w="11900" w:h="16840"/>
      <w:pgMar w:header="772" w:footer="599" w:top="2080" w:bottom="7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87426048">
              <wp:simplePos x="0" y="0"/>
              <wp:positionH relativeFrom="page">
                <wp:posOffset>3712297</wp:posOffset>
              </wp:positionH>
              <wp:positionV relativeFrom="page">
                <wp:posOffset>8460800</wp:posOffset>
              </wp:positionV>
              <wp:extent cx="145415" cy="14986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45415" cy="149860"/>
                      </a:xfrm>
                      <a:prstGeom prst="rect">
                        <a:avLst/>
                      </a:prstGeom>
                    </wps:spPr>
                    <wps:txbx>
                      <w:txbxContent>
                        <w:p>
                          <w:pPr>
                            <w:spacing w:before="18"/>
                            <w:ind w:left="60" w:right="0" w:firstLine="0"/>
                            <w:jc w:val="left"/>
                            <w:rPr>
                              <w:rFonts w:ascii="Times New Roman"/>
                              <w:sz w:val="17"/>
                            </w:rPr>
                          </w:pPr>
                          <w:r>
                            <w:rPr>
                              <w:rFonts w:ascii="Times New Roman"/>
                              <w:spacing w:val="-10"/>
                              <w:w w:val="105"/>
                              <w:sz w:val="17"/>
                            </w:rPr>
                            <w:fldChar w:fldCharType="begin"/>
                          </w:r>
                          <w:r>
                            <w:rPr>
                              <w:rFonts w:ascii="Times New Roman"/>
                              <w:spacing w:val="-10"/>
                              <w:w w:val="105"/>
                              <w:sz w:val="17"/>
                            </w:rPr>
                            <w:instrText> PAGE </w:instrText>
                          </w:r>
                          <w:r>
                            <w:rPr>
                              <w:rFonts w:ascii="Times New Roman"/>
                              <w:spacing w:val="-10"/>
                              <w:w w:val="105"/>
                              <w:sz w:val="17"/>
                            </w:rPr>
                            <w:fldChar w:fldCharType="separate"/>
                          </w:r>
                          <w:r>
                            <w:rPr>
                              <w:rFonts w:ascii="Times New Roman"/>
                              <w:spacing w:val="-10"/>
                              <w:w w:val="105"/>
                              <w:sz w:val="17"/>
                            </w:rPr>
                            <w:t>3</w:t>
                          </w:r>
                          <w:r>
                            <w:rPr>
                              <w:rFonts w:ascii="Times New Roman"/>
                              <w:spacing w:val="-10"/>
                              <w:w w:val="105"/>
                              <w:sz w:val="17"/>
                            </w:rPr>
                            <w:fldChar w:fldCharType="end"/>
                          </w:r>
                        </w:p>
                      </w:txbxContent>
                    </wps:txbx>
                    <wps:bodyPr wrap="square" lIns="0" tIns="0" rIns="0" bIns="0" rtlCol="0">
                      <a:noAutofit/>
                    </wps:bodyPr>
                  </wps:wsp>
                </a:graphicData>
              </a:graphic>
            </wp:anchor>
          </w:drawing>
        </mc:Choice>
        <mc:Fallback>
          <w:pict>
            <v:shape style="position:absolute;margin-left:292.306854pt;margin-top:666.204773pt;width:11.45pt;height:11.8pt;mso-position-horizontal-relative:page;mso-position-vertical-relative:page;z-index:-15890432" type="#_x0000_t202" id="docshape5" filled="false" stroked="false">
              <v:textbox inset="0,0,0,0">
                <w:txbxContent>
                  <w:p>
                    <w:pPr>
                      <w:spacing w:before="18"/>
                      <w:ind w:left="60" w:right="0" w:firstLine="0"/>
                      <w:jc w:val="left"/>
                      <w:rPr>
                        <w:rFonts w:ascii="Times New Roman"/>
                        <w:sz w:val="17"/>
                      </w:rPr>
                    </w:pPr>
                    <w:r>
                      <w:rPr>
                        <w:rFonts w:ascii="Times New Roman"/>
                        <w:spacing w:val="-10"/>
                        <w:w w:val="105"/>
                        <w:sz w:val="17"/>
                      </w:rPr>
                      <w:fldChar w:fldCharType="begin"/>
                    </w:r>
                    <w:r>
                      <w:rPr>
                        <w:rFonts w:ascii="Times New Roman"/>
                        <w:spacing w:val="-10"/>
                        <w:w w:val="105"/>
                        <w:sz w:val="17"/>
                      </w:rPr>
                      <w:instrText> PAGE </w:instrText>
                    </w:r>
                    <w:r>
                      <w:rPr>
                        <w:rFonts w:ascii="Times New Roman"/>
                        <w:spacing w:val="-10"/>
                        <w:w w:val="105"/>
                        <w:sz w:val="17"/>
                      </w:rPr>
                      <w:fldChar w:fldCharType="separate"/>
                    </w:r>
                    <w:r>
                      <w:rPr>
                        <w:rFonts w:ascii="Times New Roman"/>
                        <w:spacing w:val="-10"/>
                        <w:w w:val="105"/>
                        <w:sz w:val="17"/>
                      </w:rPr>
                      <w:t>3</w:t>
                    </w:r>
                    <w:r>
                      <w:rPr>
                        <w:rFonts w:ascii="Times New Roman"/>
                        <w:spacing w:val="-10"/>
                        <w:w w:val="105"/>
                        <w:sz w:val="17"/>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25024">
          <wp:simplePos x="0" y="0"/>
          <wp:positionH relativeFrom="page">
            <wp:posOffset>1407525</wp:posOffset>
          </wp:positionH>
          <wp:positionV relativeFrom="page">
            <wp:posOffset>490529</wp:posOffset>
          </wp:positionV>
          <wp:extent cx="531882" cy="482915"/>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531882" cy="48291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25536">
              <wp:simplePos x="0" y="0"/>
              <wp:positionH relativeFrom="page">
                <wp:posOffset>1278925</wp:posOffset>
              </wp:positionH>
              <wp:positionV relativeFrom="page">
                <wp:posOffset>974630</wp:posOffset>
              </wp:positionV>
              <wp:extent cx="2359025" cy="3600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359025" cy="360045"/>
                      </a:xfrm>
                      <a:prstGeom prst="rect">
                        <a:avLst/>
                      </a:prstGeom>
                    </wps:spPr>
                    <wps:txbx>
                      <w:txbxContent>
                        <w:p>
                          <w:pPr>
                            <w:spacing w:before="20"/>
                            <w:ind w:left="20" w:right="0" w:firstLine="0"/>
                            <w:jc w:val="left"/>
                            <w:rPr>
                              <w:rFonts w:ascii="Arial"/>
                              <w:b/>
                              <w:sz w:val="17"/>
                            </w:rPr>
                          </w:pPr>
                          <w:r>
                            <w:rPr>
                              <w:rFonts w:ascii="Arial"/>
                              <w:b/>
                              <w:sz w:val="17"/>
                            </w:rPr>
                            <w:t>Ayuntamiento</w:t>
                          </w:r>
                          <w:r>
                            <w:rPr>
                              <w:rFonts w:ascii="Arial"/>
                              <w:b/>
                              <w:spacing w:val="21"/>
                              <w:sz w:val="17"/>
                            </w:rPr>
                            <w:t> </w:t>
                          </w:r>
                          <w:r>
                            <w:rPr>
                              <w:rFonts w:ascii="Arial"/>
                              <w:b/>
                              <w:sz w:val="17"/>
                            </w:rPr>
                            <w:t>de</w:t>
                          </w:r>
                          <w:r>
                            <w:rPr>
                              <w:rFonts w:ascii="Arial"/>
                              <w:b/>
                              <w:spacing w:val="22"/>
                              <w:sz w:val="17"/>
                            </w:rPr>
                            <w:t> </w:t>
                          </w:r>
                          <w:r>
                            <w:rPr>
                              <w:rFonts w:ascii="Arial"/>
                              <w:b/>
                              <w:spacing w:val="-2"/>
                              <w:sz w:val="17"/>
                            </w:rPr>
                            <w:t>Valladolid</w:t>
                          </w:r>
                        </w:p>
                        <w:p>
                          <w:pPr>
                            <w:spacing w:before="5"/>
                            <w:ind w:left="20" w:right="0" w:firstLine="0"/>
                            <w:jc w:val="left"/>
                            <w:rPr>
                              <w:rFonts w:ascii="Arial" w:hAnsi="Arial"/>
                              <w:b/>
                              <w:sz w:val="14"/>
                            </w:rPr>
                          </w:pPr>
                          <w:r>
                            <w:rPr>
                              <w:rFonts w:ascii="Arial" w:hAnsi="Arial"/>
                              <w:b/>
                              <w:sz w:val="14"/>
                            </w:rPr>
                            <w:t>Concejalía de</w:t>
                          </w:r>
                          <w:r>
                            <w:rPr>
                              <w:rFonts w:ascii="Arial" w:hAnsi="Arial"/>
                              <w:b/>
                              <w:spacing w:val="-2"/>
                              <w:sz w:val="14"/>
                            </w:rPr>
                            <w:t> </w:t>
                          </w:r>
                          <w:r>
                            <w:rPr>
                              <w:rFonts w:ascii="Arial" w:hAnsi="Arial"/>
                              <w:b/>
                              <w:sz w:val="14"/>
                            </w:rPr>
                            <w:t>Urbanismo</w:t>
                          </w:r>
                          <w:r>
                            <w:rPr>
                              <w:rFonts w:ascii="Arial" w:hAnsi="Arial"/>
                              <w:b/>
                              <w:spacing w:val="-1"/>
                              <w:sz w:val="14"/>
                            </w:rPr>
                            <w:t> </w:t>
                          </w:r>
                          <w:r>
                            <w:rPr>
                              <w:rFonts w:ascii="Arial" w:hAnsi="Arial"/>
                              <w:b/>
                              <w:sz w:val="14"/>
                            </w:rPr>
                            <w:t>y</w:t>
                          </w:r>
                          <w:r>
                            <w:rPr>
                              <w:rFonts w:ascii="Arial" w:hAnsi="Arial"/>
                              <w:b/>
                              <w:spacing w:val="-2"/>
                              <w:sz w:val="14"/>
                            </w:rPr>
                            <w:t> Vivienda</w:t>
                          </w:r>
                        </w:p>
                        <w:p>
                          <w:pPr>
                            <w:spacing w:before="3"/>
                            <w:ind w:left="20" w:right="0" w:firstLine="0"/>
                            <w:jc w:val="left"/>
                            <w:rPr>
                              <w:rFonts w:ascii="Arial" w:hAnsi="Arial"/>
                              <w:b/>
                              <w:sz w:val="14"/>
                            </w:rPr>
                          </w:pPr>
                          <w:r>
                            <w:rPr>
                              <w:rFonts w:ascii="Arial" w:hAnsi="Arial"/>
                              <w:b/>
                              <w:sz w:val="14"/>
                            </w:rPr>
                            <w:t>Secretaría</w:t>
                          </w:r>
                          <w:r>
                            <w:rPr>
                              <w:rFonts w:ascii="Arial" w:hAnsi="Arial"/>
                              <w:b/>
                              <w:spacing w:val="-2"/>
                              <w:sz w:val="14"/>
                            </w:rPr>
                            <w:t> </w:t>
                          </w:r>
                          <w:r>
                            <w:rPr>
                              <w:rFonts w:ascii="Arial" w:hAnsi="Arial"/>
                              <w:b/>
                              <w:sz w:val="14"/>
                            </w:rPr>
                            <w:t>Ejecutiva</w:t>
                          </w:r>
                          <w:r>
                            <w:rPr>
                              <w:rFonts w:ascii="Arial" w:hAnsi="Arial"/>
                              <w:b/>
                              <w:spacing w:val="-1"/>
                              <w:sz w:val="14"/>
                            </w:rPr>
                            <w:t> </w:t>
                          </w:r>
                          <w:r>
                            <w:rPr>
                              <w:rFonts w:ascii="Arial" w:hAnsi="Arial"/>
                              <w:b/>
                              <w:sz w:val="14"/>
                            </w:rPr>
                            <w:t>del Área</w:t>
                          </w:r>
                          <w:r>
                            <w:rPr>
                              <w:rFonts w:ascii="Arial" w:hAnsi="Arial"/>
                              <w:b/>
                              <w:spacing w:val="1"/>
                              <w:sz w:val="14"/>
                            </w:rPr>
                            <w:t> </w:t>
                          </w:r>
                          <w:r>
                            <w:rPr>
                              <w:rFonts w:ascii="Arial" w:hAnsi="Arial"/>
                              <w:b/>
                              <w:sz w:val="14"/>
                            </w:rPr>
                            <w:t>de</w:t>
                          </w:r>
                          <w:r>
                            <w:rPr>
                              <w:rFonts w:ascii="Arial" w:hAnsi="Arial"/>
                              <w:b/>
                              <w:spacing w:val="-1"/>
                              <w:sz w:val="14"/>
                            </w:rPr>
                            <w:t> </w:t>
                          </w:r>
                          <w:r>
                            <w:rPr>
                              <w:rFonts w:ascii="Arial" w:hAnsi="Arial"/>
                              <w:b/>
                              <w:sz w:val="14"/>
                            </w:rPr>
                            <w:t>Urbanismo y</w:t>
                          </w:r>
                          <w:r>
                            <w:rPr>
                              <w:rFonts w:ascii="Arial" w:hAnsi="Arial"/>
                              <w:b/>
                              <w:spacing w:val="-1"/>
                              <w:sz w:val="14"/>
                            </w:rPr>
                            <w:t> </w:t>
                          </w:r>
                          <w:r>
                            <w:rPr>
                              <w:rFonts w:ascii="Arial" w:hAnsi="Arial"/>
                              <w:b/>
                              <w:spacing w:val="-2"/>
                              <w:sz w:val="14"/>
                            </w:rPr>
                            <w:t>Vivienda</w:t>
                          </w:r>
                        </w:p>
                      </w:txbxContent>
                    </wps:txbx>
                    <wps:bodyPr wrap="square" lIns="0" tIns="0" rIns="0" bIns="0" rtlCol="0">
                      <a:noAutofit/>
                    </wps:bodyPr>
                  </wps:wsp>
                </a:graphicData>
              </a:graphic>
            </wp:anchor>
          </w:drawing>
        </mc:Choice>
        <mc:Fallback>
          <w:pict>
            <v:shape style="position:absolute;margin-left:100.702782pt;margin-top:76.742523pt;width:185.75pt;height:28.35pt;mso-position-horizontal-relative:page;mso-position-vertical-relative:page;z-index:-15890944" type="#_x0000_t202" id="docshape4" filled="false" stroked="false">
              <v:textbox inset="0,0,0,0">
                <w:txbxContent>
                  <w:p>
                    <w:pPr>
                      <w:spacing w:before="20"/>
                      <w:ind w:left="20" w:right="0" w:firstLine="0"/>
                      <w:jc w:val="left"/>
                      <w:rPr>
                        <w:rFonts w:ascii="Arial"/>
                        <w:b/>
                        <w:sz w:val="17"/>
                      </w:rPr>
                    </w:pPr>
                    <w:r>
                      <w:rPr>
                        <w:rFonts w:ascii="Arial"/>
                        <w:b/>
                        <w:sz w:val="17"/>
                      </w:rPr>
                      <w:t>Ayuntamiento</w:t>
                    </w:r>
                    <w:r>
                      <w:rPr>
                        <w:rFonts w:ascii="Arial"/>
                        <w:b/>
                        <w:spacing w:val="21"/>
                        <w:sz w:val="17"/>
                      </w:rPr>
                      <w:t> </w:t>
                    </w:r>
                    <w:r>
                      <w:rPr>
                        <w:rFonts w:ascii="Arial"/>
                        <w:b/>
                        <w:sz w:val="17"/>
                      </w:rPr>
                      <w:t>de</w:t>
                    </w:r>
                    <w:r>
                      <w:rPr>
                        <w:rFonts w:ascii="Arial"/>
                        <w:b/>
                        <w:spacing w:val="22"/>
                        <w:sz w:val="17"/>
                      </w:rPr>
                      <w:t> </w:t>
                    </w:r>
                    <w:r>
                      <w:rPr>
                        <w:rFonts w:ascii="Arial"/>
                        <w:b/>
                        <w:spacing w:val="-2"/>
                        <w:sz w:val="17"/>
                      </w:rPr>
                      <w:t>Valladolid</w:t>
                    </w:r>
                  </w:p>
                  <w:p>
                    <w:pPr>
                      <w:spacing w:before="5"/>
                      <w:ind w:left="20" w:right="0" w:firstLine="0"/>
                      <w:jc w:val="left"/>
                      <w:rPr>
                        <w:rFonts w:ascii="Arial" w:hAnsi="Arial"/>
                        <w:b/>
                        <w:sz w:val="14"/>
                      </w:rPr>
                    </w:pPr>
                    <w:r>
                      <w:rPr>
                        <w:rFonts w:ascii="Arial" w:hAnsi="Arial"/>
                        <w:b/>
                        <w:sz w:val="14"/>
                      </w:rPr>
                      <w:t>Concejalía de</w:t>
                    </w:r>
                    <w:r>
                      <w:rPr>
                        <w:rFonts w:ascii="Arial" w:hAnsi="Arial"/>
                        <w:b/>
                        <w:spacing w:val="-2"/>
                        <w:sz w:val="14"/>
                      </w:rPr>
                      <w:t> </w:t>
                    </w:r>
                    <w:r>
                      <w:rPr>
                        <w:rFonts w:ascii="Arial" w:hAnsi="Arial"/>
                        <w:b/>
                        <w:sz w:val="14"/>
                      </w:rPr>
                      <w:t>Urbanismo</w:t>
                    </w:r>
                    <w:r>
                      <w:rPr>
                        <w:rFonts w:ascii="Arial" w:hAnsi="Arial"/>
                        <w:b/>
                        <w:spacing w:val="-1"/>
                        <w:sz w:val="14"/>
                      </w:rPr>
                      <w:t> </w:t>
                    </w:r>
                    <w:r>
                      <w:rPr>
                        <w:rFonts w:ascii="Arial" w:hAnsi="Arial"/>
                        <w:b/>
                        <w:sz w:val="14"/>
                      </w:rPr>
                      <w:t>y</w:t>
                    </w:r>
                    <w:r>
                      <w:rPr>
                        <w:rFonts w:ascii="Arial" w:hAnsi="Arial"/>
                        <w:b/>
                        <w:spacing w:val="-2"/>
                        <w:sz w:val="14"/>
                      </w:rPr>
                      <w:t> Vivienda</w:t>
                    </w:r>
                  </w:p>
                  <w:p>
                    <w:pPr>
                      <w:spacing w:before="3"/>
                      <w:ind w:left="20" w:right="0" w:firstLine="0"/>
                      <w:jc w:val="left"/>
                      <w:rPr>
                        <w:rFonts w:ascii="Arial" w:hAnsi="Arial"/>
                        <w:b/>
                        <w:sz w:val="14"/>
                      </w:rPr>
                    </w:pPr>
                    <w:r>
                      <w:rPr>
                        <w:rFonts w:ascii="Arial" w:hAnsi="Arial"/>
                        <w:b/>
                        <w:sz w:val="14"/>
                      </w:rPr>
                      <w:t>Secretaría</w:t>
                    </w:r>
                    <w:r>
                      <w:rPr>
                        <w:rFonts w:ascii="Arial" w:hAnsi="Arial"/>
                        <w:b/>
                        <w:spacing w:val="-2"/>
                        <w:sz w:val="14"/>
                      </w:rPr>
                      <w:t> </w:t>
                    </w:r>
                    <w:r>
                      <w:rPr>
                        <w:rFonts w:ascii="Arial" w:hAnsi="Arial"/>
                        <w:b/>
                        <w:sz w:val="14"/>
                      </w:rPr>
                      <w:t>Ejecutiva</w:t>
                    </w:r>
                    <w:r>
                      <w:rPr>
                        <w:rFonts w:ascii="Arial" w:hAnsi="Arial"/>
                        <w:b/>
                        <w:spacing w:val="-1"/>
                        <w:sz w:val="14"/>
                      </w:rPr>
                      <w:t> </w:t>
                    </w:r>
                    <w:r>
                      <w:rPr>
                        <w:rFonts w:ascii="Arial" w:hAnsi="Arial"/>
                        <w:b/>
                        <w:sz w:val="14"/>
                      </w:rPr>
                      <w:t>del Área</w:t>
                    </w:r>
                    <w:r>
                      <w:rPr>
                        <w:rFonts w:ascii="Arial" w:hAnsi="Arial"/>
                        <w:b/>
                        <w:spacing w:val="1"/>
                        <w:sz w:val="14"/>
                      </w:rPr>
                      <w:t> </w:t>
                    </w:r>
                    <w:r>
                      <w:rPr>
                        <w:rFonts w:ascii="Arial" w:hAnsi="Arial"/>
                        <w:b/>
                        <w:sz w:val="14"/>
                      </w:rPr>
                      <w:t>de</w:t>
                    </w:r>
                    <w:r>
                      <w:rPr>
                        <w:rFonts w:ascii="Arial" w:hAnsi="Arial"/>
                        <w:b/>
                        <w:spacing w:val="-1"/>
                        <w:sz w:val="14"/>
                      </w:rPr>
                      <w:t> </w:t>
                    </w:r>
                    <w:r>
                      <w:rPr>
                        <w:rFonts w:ascii="Arial" w:hAnsi="Arial"/>
                        <w:b/>
                        <w:sz w:val="14"/>
                      </w:rPr>
                      <w:t>Urbanismo y</w:t>
                    </w:r>
                    <w:r>
                      <w:rPr>
                        <w:rFonts w:ascii="Arial" w:hAnsi="Arial"/>
                        <w:b/>
                        <w:spacing w:val="-1"/>
                        <w:sz w:val="14"/>
                      </w:rPr>
                      <w:t> </w:t>
                    </w:r>
                    <w:r>
                      <w:rPr>
                        <w:rFonts w:ascii="Arial" w:hAnsi="Arial"/>
                        <w:b/>
                        <w:spacing w:val="-2"/>
                        <w:sz w:val="14"/>
                      </w:rPr>
                      <w:t>Vivienda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751" w:hanging="252"/>
        <w:jc w:val="left"/>
      </w:pPr>
      <w:rPr>
        <w:rFonts w:hint="default" w:ascii="Calibri" w:hAnsi="Calibri" w:eastAsia="Calibri" w:cs="Calibri"/>
        <w:b/>
        <w:bCs/>
        <w:i w:val="0"/>
        <w:iCs w:val="0"/>
        <w:spacing w:val="0"/>
        <w:w w:val="101"/>
        <w:sz w:val="21"/>
        <w:szCs w:val="21"/>
        <w:lang w:val="es-ES" w:eastAsia="en-US" w:bidi="ar-SA"/>
      </w:rPr>
    </w:lvl>
    <w:lvl w:ilvl="1">
      <w:start w:val="0"/>
      <w:numFmt w:val="bullet"/>
      <w:lvlText w:val="•"/>
      <w:lvlJc w:val="left"/>
      <w:pPr>
        <w:ind w:left="2717" w:hanging="252"/>
      </w:pPr>
      <w:rPr>
        <w:rFonts w:hint="default"/>
        <w:lang w:val="es-ES" w:eastAsia="en-US" w:bidi="ar-SA"/>
      </w:rPr>
    </w:lvl>
    <w:lvl w:ilvl="2">
      <w:start w:val="0"/>
      <w:numFmt w:val="bullet"/>
      <w:lvlText w:val="•"/>
      <w:lvlJc w:val="left"/>
      <w:pPr>
        <w:ind w:left="3674" w:hanging="252"/>
      </w:pPr>
      <w:rPr>
        <w:rFonts w:hint="default"/>
        <w:lang w:val="es-ES" w:eastAsia="en-US" w:bidi="ar-SA"/>
      </w:rPr>
    </w:lvl>
    <w:lvl w:ilvl="3">
      <w:start w:val="0"/>
      <w:numFmt w:val="bullet"/>
      <w:lvlText w:val="•"/>
      <w:lvlJc w:val="left"/>
      <w:pPr>
        <w:ind w:left="4632" w:hanging="252"/>
      </w:pPr>
      <w:rPr>
        <w:rFonts w:hint="default"/>
        <w:lang w:val="es-ES" w:eastAsia="en-US" w:bidi="ar-SA"/>
      </w:rPr>
    </w:lvl>
    <w:lvl w:ilvl="4">
      <w:start w:val="0"/>
      <w:numFmt w:val="bullet"/>
      <w:lvlText w:val="•"/>
      <w:lvlJc w:val="left"/>
      <w:pPr>
        <w:ind w:left="5589" w:hanging="252"/>
      </w:pPr>
      <w:rPr>
        <w:rFonts w:hint="default"/>
        <w:lang w:val="es-ES" w:eastAsia="en-US" w:bidi="ar-SA"/>
      </w:rPr>
    </w:lvl>
    <w:lvl w:ilvl="5">
      <w:start w:val="0"/>
      <w:numFmt w:val="bullet"/>
      <w:lvlText w:val="•"/>
      <w:lvlJc w:val="left"/>
      <w:pPr>
        <w:ind w:left="6547" w:hanging="252"/>
      </w:pPr>
      <w:rPr>
        <w:rFonts w:hint="default"/>
        <w:lang w:val="es-ES" w:eastAsia="en-US" w:bidi="ar-SA"/>
      </w:rPr>
    </w:lvl>
    <w:lvl w:ilvl="6">
      <w:start w:val="0"/>
      <w:numFmt w:val="bullet"/>
      <w:lvlText w:val="•"/>
      <w:lvlJc w:val="left"/>
      <w:pPr>
        <w:ind w:left="7504" w:hanging="252"/>
      </w:pPr>
      <w:rPr>
        <w:rFonts w:hint="default"/>
        <w:lang w:val="es-ES" w:eastAsia="en-US" w:bidi="ar-SA"/>
      </w:rPr>
    </w:lvl>
    <w:lvl w:ilvl="7">
      <w:start w:val="0"/>
      <w:numFmt w:val="bullet"/>
      <w:lvlText w:val="•"/>
      <w:lvlJc w:val="left"/>
      <w:pPr>
        <w:ind w:left="8461" w:hanging="252"/>
      </w:pPr>
      <w:rPr>
        <w:rFonts w:hint="default"/>
        <w:lang w:val="es-ES" w:eastAsia="en-US" w:bidi="ar-SA"/>
      </w:rPr>
    </w:lvl>
    <w:lvl w:ilvl="8">
      <w:start w:val="0"/>
      <w:numFmt w:val="bullet"/>
      <w:lvlText w:val="•"/>
      <w:lvlJc w:val="left"/>
      <w:pPr>
        <w:ind w:left="9419" w:hanging="252"/>
      </w:pPr>
      <w:rPr>
        <w:rFonts w:hint="default"/>
        <w:lang w:val="es-ES" w:eastAsia="en-US" w:bidi="ar-SA"/>
      </w:rPr>
    </w:lvl>
  </w:abstractNum>
  <w:abstractNum w:abstractNumId="0">
    <w:multiLevelType w:val="hybridMultilevel"/>
    <w:lvl w:ilvl="0">
      <w:start w:val="1"/>
      <w:numFmt w:val="decimal"/>
      <w:lvlText w:val="%1."/>
      <w:lvlJc w:val="left"/>
      <w:pPr>
        <w:ind w:left="1751" w:hanging="252"/>
        <w:jc w:val="right"/>
      </w:pPr>
      <w:rPr>
        <w:rFonts w:hint="default" w:ascii="Calibri" w:hAnsi="Calibri" w:eastAsia="Calibri" w:cs="Calibri"/>
        <w:b/>
        <w:bCs/>
        <w:i w:val="0"/>
        <w:iCs w:val="0"/>
        <w:spacing w:val="0"/>
        <w:w w:val="101"/>
        <w:sz w:val="21"/>
        <w:szCs w:val="21"/>
        <w:lang w:val="es-ES" w:eastAsia="en-US" w:bidi="ar-SA"/>
      </w:rPr>
    </w:lvl>
    <w:lvl w:ilvl="1">
      <w:start w:val="0"/>
      <w:numFmt w:val="bullet"/>
      <w:lvlText w:val=""/>
      <w:lvlJc w:val="left"/>
      <w:pPr>
        <w:ind w:left="2504" w:hanging="252"/>
      </w:pPr>
      <w:rPr>
        <w:rFonts w:hint="default" w:ascii="Symbol" w:hAnsi="Symbol" w:eastAsia="Symbol" w:cs="Symbol"/>
        <w:b w:val="0"/>
        <w:bCs w:val="0"/>
        <w:i w:val="0"/>
        <w:iCs w:val="0"/>
        <w:spacing w:val="0"/>
        <w:w w:val="101"/>
        <w:sz w:val="21"/>
        <w:szCs w:val="21"/>
        <w:lang w:val="es-ES" w:eastAsia="en-US" w:bidi="ar-SA"/>
      </w:rPr>
    </w:lvl>
    <w:lvl w:ilvl="2">
      <w:start w:val="0"/>
      <w:numFmt w:val="bullet"/>
      <w:lvlText w:val="•"/>
      <w:lvlJc w:val="left"/>
      <w:pPr>
        <w:ind w:left="3481" w:hanging="252"/>
      </w:pPr>
      <w:rPr>
        <w:rFonts w:hint="default"/>
        <w:lang w:val="es-ES" w:eastAsia="en-US" w:bidi="ar-SA"/>
      </w:rPr>
    </w:lvl>
    <w:lvl w:ilvl="3">
      <w:start w:val="0"/>
      <w:numFmt w:val="bullet"/>
      <w:lvlText w:val="•"/>
      <w:lvlJc w:val="left"/>
      <w:pPr>
        <w:ind w:left="4463" w:hanging="252"/>
      </w:pPr>
      <w:rPr>
        <w:rFonts w:hint="default"/>
        <w:lang w:val="es-ES" w:eastAsia="en-US" w:bidi="ar-SA"/>
      </w:rPr>
    </w:lvl>
    <w:lvl w:ilvl="4">
      <w:start w:val="0"/>
      <w:numFmt w:val="bullet"/>
      <w:lvlText w:val="•"/>
      <w:lvlJc w:val="left"/>
      <w:pPr>
        <w:ind w:left="5444" w:hanging="252"/>
      </w:pPr>
      <w:rPr>
        <w:rFonts w:hint="default"/>
        <w:lang w:val="es-ES" w:eastAsia="en-US" w:bidi="ar-SA"/>
      </w:rPr>
    </w:lvl>
    <w:lvl w:ilvl="5">
      <w:start w:val="0"/>
      <w:numFmt w:val="bullet"/>
      <w:lvlText w:val="•"/>
      <w:lvlJc w:val="left"/>
      <w:pPr>
        <w:ind w:left="6426" w:hanging="252"/>
      </w:pPr>
      <w:rPr>
        <w:rFonts w:hint="default"/>
        <w:lang w:val="es-ES" w:eastAsia="en-US" w:bidi="ar-SA"/>
      </w:rPr>
    </w:lvl>
    <w:lvl w:ilvl="6">
      <w:start w:val="0"/>
      <w:numFmt w:val="bullet"/>
      <w:lvlText w:val="•"/>
      <w:lvlJc w:val="left"/>
      <w:pPr>
        <w:ind w:left="7407" w:hanging="252"/>
      </w:pPr>
      <w:rPr>
        <w:rFonts w:hint="default"/>
        <w:lang w:val="es-ES" w:eastAsia="en-US" w:bidi="ar-SA"/>
      </w:rPr>
    </w:lvl>
    <w:lvl w:ilvl="7">
      <w:start w:val="0"/>
      <w:numFmt w:val="bullet"/>
      <w:lvlText w:val="•"/>
      <w:lvlJc w:val="left"/>
      <w:pPr>
        <w:ind w:left="8389" w:hanging="252"/>
      </w:pPr>
      <w:rPr>
        <w:rFonts w:hint="default"/>
        <w:lang w:val="es-ES" w:eastAsia="en-US" w:bidi="ar-SA"/>
      </w:rPr>
    </w:lvl>
    <w:lvl w:ilvl="8">
      <w:start w:val="0"/>
      <w:numFmt w:val="bullet"/>
      <w:lvlText w:val="•"/>
      <w:lvlJc w:val="left"/>
      <w:pPr>
        <w:ind w:left="9370" w:hanging="252"/>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rPr>
      <w:rFonts w:ascii="Calibri" w:hAnsi="Calibri" w:eastAsia="Calibri" w:cs="Calibri"/>
      <w:sz w:val="21"/>
      <w:szCs w:val="21"/>
      <w:lang w:val="es-ES" w:eastAsia="en-US" w:bidi="ar-SA"/>
    </w:rPr>
  </w:style>
  <w:style w:styleId="Heading1" w:type="paragraph">
    <w:name w:val="Heading 1"/>
    <w:basedOn w:val="Normal"/>
    <w:uiPriority w:val="1"/>
    <w:qFormat/>
    <w:pPr>
      <w:ind w:left="78"/>
      <w:jc w:val="center"/>
      <w:outlineLvl w:val="1"/>
    </w:pPr>
    <w:rPr>
      <w:rFonts w:ascii="Calibri" w:hAnsi="Calibri" w:eastAsia="Calibri" w:cs="Calibri"/>
      <w:b/>
      <w:bCs/>
      <w:sz w:val="21"/>
      <w:szCs w:val="21"/>
      <w:lang w:val="es-ES" w:eastAsia="en-US" w:bidi="ar-SA"/>
    </w:rPr>
  </w:style>
  <w:style w:styleId="ListParagraph" w:type="paragraph">
    <w:name w:val="List Paragraph"/>
    <w:basedOn w:val="Normal"/>
    <w:uiPriority w:val="1"/>
    <w:qFormat/>
    <w:pPr>
      <w:ind w:left="1751" w:right="1747" w:hanging="252"/>
      <w:jc w:val="both"/>
    </w:pPr>
    <w:rPr>
      <w:rFonts w:ascii="Calibri" w:hAnsi="Calibri" w:eastAsia="Calibri" w:cs="Calibri"/>
      <w:lang w:val="es-ES" w:eastAsia="en-US" w:bidi="ar-SA"/>
    </w:rPr>
  </w:style>
  <w:style w:styleId="TableParagraph" w:type="paragraph">
    <w:name w:val="Table Paragraph"/>
    <w:basedOn w:val="Normal"/>
    <w:uiPriority w:val="1"/>
    <w:qFormat/>
    <w:pPr>
      <w:spacing w:before="43" w:line="146" w:lineRule="exact"/>
      <w:ind w:left="20"/>
      <w:jc w:val="center"/>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2026-03-23T11:23:19Z</dcterms:created>
  <dcterms:modified xsi:type="dcterms:W3CDTF">2026-03-23T11:23:19Z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2026-03-23T00:00:00Z</vt:filetime>
  </property>
  <property fmtid="{D5CDD505-2E9C-101B-9397-08002B2CF9AE}" pid="3" name="LastSaved">
    <vt:filetime>2026-03-23T00:00:00Z</vt:filetime>
  </property>
  <property fmtid="{D5CDD505-2E9C-101B-9397-08002B2CF9AE}" pid="4" name="Producer">
    <vt:lpwstr>iText® 5.5.13.1 ©2000-2019 iText Group NV (AGPL-version)</vt:lpwstr>
  </property>
</Properties>
</file>